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Look w:val="0000" w:firstRow="0" w:lastRow="0" w:firstColumn="0" w:lastColumn="0" w:noHBand="0" w:noVBand="0"/>
      </w:tblPr>
      <w:tblGrid>
        <w:gridCol w:w="4920"/>
        <w:gridCol w:w="3602"/>
      </w:tblGrid>
      <w:tr w:rsidR="008D4727" w:rsidRPr="008D4727" w:rsidTr="0074655E">
        <w:trPr>
          <w:trHeight w:hRule="exact" w:val="418"/>
          <w:jc w:val="center"/>
        </w:trPr>
        <w:tc>
          <w:tcPr>
            <w:tcW w:w="8721" w:type="dxa"/>
            <w:gridSpan w:val="2"/>
          </w:tcPr>
          <w:p w:rsidR="008D4727" w:rsidRPr="008D4727" w:rsidRDefault="008D4727" w:rsidP="008D4727">
            <w:pPr>
              <w:tabs>
                <w:tab w:val="center" w:pos="4153"/>
                <w:tab w:val="right" w:pos="8306"/>
              </w:tabs>
              <w:spacing w:after="0" w:line="240" w:lineRule="auto"/>
              <w:jc w:val="center"/>
              <w:rPr>
                <w:rFonts w:ascii="Tahoma" w:eastAsia="Times New Roman" w:hAnsi="Tahoma" w:cs="David"/>
                <w:color w:val="000080"/>
                <w:sz w:val="30"/>
                <w:szCs w:val="30"/>
                <w:rtl/>
              </w:rPr>
            </w:pPr>
            <w:bookmarkStart w:id="0" w:name="LastJudge"/>
            <w:bookmarkStart w:id="1" w:name="_GoBack"/>
            <w:bookmarkEnd w:id="1"/>
            <w:r w:rsidRPr="008D4727">
              <w:rPr>
                <w:rFonts w:ascii="Tahoma" w:eastAsia="Times New Roman" w:hAnsi="Tahoma" w:cs="David"/>
                <w:b/>
                <w:bCs/>
                <w:color w:val="000080"/>
                <w:sz w:val="30"/>
                <w:szCs w:val="30"/>
                <w:rtl/>
              </w:rPr>
              <w:t>בית הדין האזורי לעבודה בנצרת</w:t>
            </w:r>
          </w:p>
        </w:tc>
      </w:tr>
      <w:tr w:rsidR="008D4727" w:rsidRPr="008D4727" w:rsidTr="0074655E">
        <w:trPr>
          <w:trHeight w:val="337"/>
          <w:jc w:val="center"/>
        </w:trPr>
        <w:tc>
          <w:tcPr>
            <w:tcW w:w="5047" w:type="dxa"/>
          </w:tcPr>
          <w:p w:rsidR="008D4727" w:rsidRPr="008D4727" w:rsidRDefault="008D4727" w:rsidP="008D4727">
            <w:pPr>
              <w:spacing w:after="0" w:line="240" w:lineRule="auto"/>
              <w:rPr>
                <w:rFonts w:ascii="Times New Roman" w:eastAsia="Times New Roman" w:hAnsi="Times New Roman" w:cs="David"/>
                <w:b/>
                <w:bCs/>
                <w:sz w:val="26"/>
                <w:szCs w:val="26"/>
                <w:rtl/>
              </w:rPr>
            </w:pPr>
          </w:p>
        </w:tc>
        <w:tc>
          <w:tcPr>
            <w:tcW w:w="3674" w:type="dxa"/>
          </w:tcPr>
          <w:p w:rsidR="008D4727" w:rsidRPr="008D4727" w:rsidRDefault="008D4727" w:rsidP="008D4727">
            <w:pPr>
              <w:spacing w:after="0" w:line="240" w:lineRule="auto"/>
              <w:jc w:val="right"/>
              <w:rPr>
                <w:rFonts w:ascii="Times New Roman" w:eastAsia="Times New Roman" w:hAnsi="Times New Roman" w:cs="David"/>
                <w:noProof/>
                <w:sz w:val="28"/>
                <w:szCs w:val="28"/>
              </w:rPr>
            </w:pPr>
            <w:proofErr w:type="spellStart"/>
            <w:r w:rsidRPr="008D4727">
              <w:rPr>
                <w:rFonts w:ascii="Times New Roman" w:eastAsia="Times New Roman" w:hAnsi="Times New Roman" w:cs="David"/>
                <w:b/>
                <w:bCs/>
                <w:sz w:val="28"/>
                <w:szCs w:val="28"/>
                <w:rtl/>
              </w:rPr>
              <w:t>סע"ש</w:t>
            </w:r>
            <w:proofErr w:type="spellEnd"/>
            <w:r w:rsidRPr="008D4727">
              <w:rPr>
                <w:rFonts w:ascii="Times New Roman" w:eastAsia="Times New Roman" w:hAnsi="Times New Roman" w:cs="David"/>
                <w:b/>
                <w:bCs/>
                <w:sz w:val="28"/>
                <w:szCs w:val="28"/>
                <w:rtl/>
              </w:rPr>
              <w:t xml:space="preserve"> 33660-07-12</w:t>
            </w:r>
          </w:p>
          <w:p w:rsidR="008D4727" w:rsidRPr="008D4727" w:rsidRDefault="008D4727" w:rsidP="008D4727">
            <w:pPr>
              <w:tabs>
                <w:tab w:val="center" w:pos="4153"/>
                <w:tab w:val="right" w:pos="8306"/>
              </w:tabs>
              <w:spacing w:after="0" w:line="240" w:lineRule="auto"/>
              <w:rPr>
                <w:rFonts w:ascii="Times New Roman" w:eastAsia="Times New Roman" w:hAnsi="Times New Roman" w:cs="David"/>
                <w:b/>
                <w:bCs/>
                <w:sz w:val="26"/>
                <w:szCs w:val="26"/>
                <w:rtl/>
              </w:rPr>
            </w:pPr>
            <w:r w:rsidRPr="008D4727">
              <w:rPr>
                <w:rFonts w:ascii="Times New Roman" w:eastAsia="Times New Roman" w:hAnsi="Times New Roman" w:cs="David"/>
                <w:noProof/>
                <w:sz w:val="28"/>
                <w:szCs w:val="28"/>
                <w:rtl/>
              </w:rPr>
              <w:t xml:space="preserve"> </w:t>
            </w:r>
          </w:p>
        </w:tc>
      </w:tr>
    </w:tbl>
    <w:p w:rsidR="008D4727" w:rsidRPr="008D4727" w:rsidRDefault="008D4727" w:rsidP="008D4727">
      <w:pPr>
        <w:tabs>
          <w:tab w:val="center" w:pos="4153"/>
          <w:tab w:val="right" w:pos="8306"/>
        </w:tabs>
        <w:spacing w:after="0" w:line="240" w:lineRule="auto"/>
        <w:rPr>
          <w:rFonts w:ascii="Times New Roman" w:eastAsia="Times New Roman" w:hAnsi="Times New Roman" w:cs="David"/>
          <w:sz w:val="24"/>
          <w:szCs w:val="24"/>
          <w:rtl/>
        </w:rPr>
      </w:pPr>
      <w:r w:rsidRPr="008D4727">
        <w:rPr>
          <w:rFonts w:ascii="Times New Roman" w:eastAsia="Times New Roman" w:hAnsi="Times New Roman" w:cs="David"/>
          <w:sz w:val="24"/>
          <w:szCs w:val="24"/>
          <w:rtl/>
        </w:rPr>
        <w:t xml:space="preserve"> </w:t>
      </w:r>
    </w:p>
    <w:p w:rsidR="008D4727" w:rsidRPr="008D4727" w:rsidRDefault="008D4727" w:rsidP="008D4727">
      <w:pPr>
        <w:spacing w:after="0" w:line="240" w:lineRule="auto"/>
        <w:rPr>
          <w:rFonts w:ascii="Times New Roman" w:eastAsia="Times New Roman" w:hAnsi="Times New Roman" w:cs="David"/>
          <w:noProof/>
          <w:sz w:val="28"/>
          <w:szCs w:val="28"/>
          <w:rtl/>
        </w:rPr>
      </w:pPr>
    </w:p>
    <w:tbl>
      <w:tblPr>
        <w:bidiVisual/>
        <w:tblW w:w="8820" w:type="dxa"/>
        <w:jc w:val="center"/>
        <w:tblLook w:val="01E0" w:firstRow="1" w:lastRow="1" w:firstColumn="1" w:lastColumn="1" w:noHBand="0" w:noVBand="0"/>
      </w:tblPr>
      <w:tblGrid>
        <w:gridCol w:w="3249"/>
        <w:gridCol w:w="1800"/>
        <w:gridCol w:w="3771"/>
      </w:tblGrid>
      <w:tr w:rsidR="008D4727" w:rsidRPr="008D4727" w:rsidTr="0074655E">
        <w:trPr>
          <w:trHeight w:val="295"/>
          <w:jc w:val="center"/>
        </w:trPr>
        <w:tc>
          <w:tcPr>
            <w:tcW w:w="5049" w:type="dxa"/>
            <w:gridSpan w:val="2"/>
          </w:tcPr>
          <w:p w:rsidR="008D4727" w:rsidRPr="008D4727" w:rsidRDefault="008D4727" w:rsidP="008D4727">
            <w:pPr>
              <w:spacing w:after="0" w:line="240" w:lineRule="auto"/>
              <w:rPr>
                <w:rFonts w:ascii="Arial" w:eastAsia="Times New Roman" w:hAnsi="Arial" w:cs="David"/>
                <w:b/>
                <w:bCs/>
                <w:sz w:val="28"/>
                <w:szCs w:val="28"/>
                <w:rtl/>
              </w:rPr>
            </w:pPr>
            <w:r w:rsidRPr="008D4727">
              <w:rPr>
                <w:rFonts w:ascii="Arial" w:eastAsia="Times New Roman" w:hAnsi="Arial" w:cs="David" w:hint="cs"/>
                <w:b/>
                <w:bCs/>
                <w:noProof/>
                <w:sz w:val="28"/>
                <w:szCs w:val="28"/>
                <w:rtl/>
              </w:rPr>
              <w:t>ל</w:t>
            </w:r>
            <w:r w:rsidRPr="008D4727">
              <w:rPr>
                <w:rFonts w:ascii="Arial" w:eastAsia="Times New Roman" w:hAnsi="Arial" w:cs="David"/>
                <w:b/>
                <w:bCs/>
                <w:noProof/>
                <w:sz w:val="28"/>
                <w:szCs w:val="28"/>
                <w:rtl/>
              </w:rPr>
              <w:t>פני</w:t>
            </w:r>
            <w:r w:rsidRPr="008D4727">
              <w:rPr>
                <w:rFonts w:ascii="Arial" w:eastAsia="Times New Roman" w:hAnsi="Arial" w:cs="David" w:hint="cs"/>
                <w:b/>
                <w:bCs/>
                <w:noProof/>
                <w:sz w:val="28"/>
                <w:szCs w:val="28"/>
                <w:rtl/>
              </w:rPr>
              <w:t>:</w:t>
            </w:r>
          </w:p>
        </w:tc>
        <w:tc>
          <w:tcPr>
            <w:tcW w:w="3771" w:type="dxa"/>
          </w:tcPr>
          <w:p w:rsidR="008D4727" w:rsidRPr="008D4727" w:rsidRDefault="008D4727" w:rsidP="008D4727">
            <w:pPr>
              <w:spacing w:after="0" w:line="240" w:lineRule="auto"/>
              <w:jc w:val="right"/>
              <w:rPr>
                <w:rFonts w:ascii="Arial" w:eastAsia="Times New Roman" w:hAnsi="Arial" w:cs="David"/>
                <w:b/>
                <w:bCs/>
                <w:sz w:val="28"/>
                <w:szCs w:val="28"/>
                <w:rtl/>
              </w:rPr>
            </w:pPr>
          </w:p>
        </w:tc>
      </w:tr>
      <w:tr w:rsidR="008D4727" w:rsidRPr="008D4727" w:rsidTr="0074655E">
        <w:trPr>
          <w:jc w:val="center"/>
        </w:trPr>
        <w:tc>
          <w:tcPr>
            <w:tcW w:w="8820" w:type="dxa"/>
            <w:gridSpan w:val="3"/>
          </w:tcPr>
          <w:p w:rsidR="008D4727" w:rsidRPr="008D4727" w:rsidRDefault="008D4727" w:rsidP="008D4727">
            <w:pPr>
              <w:spacing w:after="0" w:line="240" w:lineRule="auto"/>
              <w:rPr>
                <w:rFonts w:ascii="Times New Roman" w:eastAsia="Times New Roman" w:hAnsi="Times New Roman" w:cs="David"/>
                <w:noProof/>
                <w:sz w:val="28"/>
                <w:szCs w:val="28"/>
                <w:rtl/>
              </w:rPr>
            </w:pPr>
            <w:r w:rsidRPr="008D4727">
              <w:rPr>
                <w:rFonts w:ascii="Arial" w:eastAsia="Times New Roman" w:hAnsi="Arial" w:cs="David" w:hint="cs"/>
                <w:b/>
                <w:bCs/>
                <w:noProof/>
                <w:sz w:val="28"/>
                <w:szCs w:val="28"/>
                <w:rtl/>
              </w:rPr>
              <w:t>כב' הנשיאה ורד שפר</w:t>
            </w:r>
            <w:r w:rsidRPr="008D4727">
              <w:rPr>
                <w:rFonts w:ascii="Arial" w:eastAsia="Times New Roman" w:hAnsi="Arial" w:cs="David"/>
                <w:b/>
                <w:bCs/>
                <w:noProof/>
                <w:sz w:val="28"/>
                <w:szCs w:val="28"/>
                <w:rtl/>
              </w:rPr>
              <w:t xml:space="preserve">  </w:t>
            </w:r>
          </w:p>
          <w:p w:rsidR="008D4727" w:rsidRPr="008D4727" w:rsidRDefault="008D4727" w:rsidP="008D4727">
            <w:pPr>
              <w:spacing w:after="0" w:line="240" w:lineRule="auto"/>
              <w:rPr>
                <w:rFonts w:ascii="Times New Roman" w:eastAsia="Times New Roman" w:hAnsi="Times New Roman" w:cs="David"/>
                <w:b/>
                <w:bCs/>
                <w:noProof/>
                <w:sz w:val="28"/>
                <w:szCs w:val="28"/>
                <w:rtl/>
              </w:rPr>
            </w:pPr>
            <w:r w:rsidRPr="008D4727">
              <w:rPr>
                <w:rFonts w:ascii="Times New Roman" w:eastAsia="Times New Roman" w:hAnsi="Times New Roman" w:cs="David"/>
                <w:b/>
                <w:bCs/>
                <w:noProof/>
                <w:sz w:val="28"/>
                <w:szCs w:val="28"/>
                <w:rtl/>
              </w:rPr>
              <w:t>נציג</w:t>
            </w:r>
            <w:r w:rsidRPr="008D4727">
              <w:rPr>
                <w:rFonts w:ascii="Times New Roman" w:eastAsia="Times New Roman" w:hAnsi="Times New Roman" w:cs="David" w:hint="cs"/>
                <w:b/>
                <w:bCs/>
                <w:noProof/>
                <w:sz w:val="28"/>
                <w:szCs w:val="28"/>
                <w:rtl/>
              </w:rPr>
              <w:t>ת</w:t>
            </w:r>
            <w:r w:rsidRPr="008D4727">
              <w:rPr>
                <w:rFonts w:ascii="Times New Roman" w:eastAsia="Times New Roman" w:hAnsi="Times New Roman" w:cs="David"/>
                <w:b/>
                <w:bCs/>
                <w:noProof/>
                <w:sz w:val="28"/>
                <w:szCs w:val="28"/>
                <w:rtl/>
              </w:rPr>
              <w:t xml:space="preserve">  ציבור (עובדים)</w:t>
            </w:r>
            <w:r w:rsidRPr="008D4727">
              <w:rPr>
                <w:rFonts w:ascii="Times New Roman" w:eastAsia="Times New Roman" w:hAnsi="Times New Roman" w:cs="David" w:hint="cs"/>
                <w:b/>
                <w:bCs/>
                <w:noProof/>
                <w:sz w:val="28"/>
                <w:szCs w:val="28"/>
                <w:rtl/>
              </w:rPr>
              <w:t xml:space="preserve"> </w:t>
            </w:r>
            <w:r w:rsidRPr="008D4727">
              <w:rPr>
                <w:rFonts w:ascii="Times New Roman" w:eastAsia="Times New Roman" w:hAnsi="Times New Roman" w:cs="David"/>
                <w:b/>
                <w:bCs/>
                <w:noProof/>
                <w:sz w:val="28"/>
                <w:szCs w:val="28"/>
                <w:rtl/>
              </w:rPr>
              <w:t>גב'</w:t>
            </w:r>
            <w:r w:rsidRPr="008D4727">
              <w:rPr>
                <w:rFonts w:ascii="Times New Roman" w:eastAsia="Times New Roman" w:hAnsi="Times New Roman" w:cs="David" w:hint="cs"/>
                <w:b/>
                <w:bCs/>
                <w:noProof/>
                <w:sz w:val="28"/>
                <w:szCs w:val="28"/>
                <w:rtl/>
              </w:rPr>
              <w:t xml:space="preserve"> יפה קריספיל</w:t>
            </w:r>
          </w:p>
          <w:p w:rsidR="008D4727" w:rsidRPr="008D4727" w:rsidRDefault="008D4727" w:rsidP="008D4727">
            <w:pPr>
              <w:spacing w:after="0" w:line="240" w:lineRule="auto"/>
              <w:rPr>
                <w:rFonts w:ascii="Times New Roman" w:eastAsia="Times New Roman" w:hAnsi="Times New Roman" w:cs="David"/>
                <w:b/>
                <w:bCs/>
                <w:noProof/>
                <w:sz w:val="28"/>
                <w:szCs w:val="28"/>
                <w:rtl/>
              </w:rPr>
            </w:pPr>
            <w:r w:rsidRPr="008D4727">
              <w:rPr>
                <w:rFonts w:ascii="Times New Roman" w:eastAsia="Times New Roman" w:hAnsi="Times New Roman" w:cs="David"/>
                <w:b/>
                <w:bCs/>
                <w:noProof/>
                <w:sz w:val="28"/>
                <w:szCs w:val="28"/>
                <w:rtl/>
              </w:rPr>
              <w:t>נציג ציבור (מע</w:t>
            </w:r>
            <w:r w:rsidRPr="008D4727">
              <w:rPr>
                <w:rFonts w:ascii="Times New Roman" w:eastAsia="Times New Roman" w:hAnsi="Times New Roman" w:cs="David" w:hint="cs"/>
                <w:b/>
                <w:bCs/>
                <w:noProof/>
                <w:sz w:val="28"/>
                <w:szCs w:val="28"/>
                <w:rtl/>
              </w:rPr>
              <w:t>סיק</w:t>
            </w:r>
            <w:r w:rsidRPr="008D4727">
              <w:rPr>
                <w:rFonts w:ascii="Times New Roman" w:eastAsia="Times New Roman" w:hAnsi="Times New Roman" w:cs="David"/>
                <w:b/>
                <w:bCs/>
                <w:noProof/>
                <w:sz w:val="28"/>
                <w:szCs w:val="28"/>
                <w:rtl/>
              </w:rPr>
              <w:t>ים)  מר</w:t>
            </w:r>
            <w:r w:rsidRPr="008D4727">
              <w:rPr>
                <w:rFonts w:ascii="Times New Roman" w:eastAsia="Times New Roman" w:hAnsi="Times New Roman" w:cs="David" w:hint="cs"/>
                <w:b/>
                <w:bCs/>
                <w:noProof/>
                <w:sz w:val="28"/>
                <w:szCs w:val="28"/>
                <w:rtl/>
              </w:rPr>
              <w:t xml:space="preserve"> דב רוזנברג</w:t>
            </w:r>
          </w:p>
          <w:p w:rsidR="008D4727" w:rsidRPr="008D4727" w:rsidRDefault="008D4727" w:rsidP="008D4727">
            <w:pPr>
              <w:spacing w:after="0" w:line="240" w:lineRule="auto"/>
              <w:rPr>
                <w:rFonts w:ascii="Arial" w:eastAsia="Times New Roman" w:hAnsi="Arial" w:cs="FrankRuehl"/>
                <w:noProof/>
                <w:sz w:val="28"/>
                <w:szCs w:val="28"/>
                <w:highlight w:val="yellow"/>
              </w:rPr>
            </w:pPr>
          </w:p>
        </w:tc>
      </w:tr>
      <w:tr w:rsidR="008D4727" w:rsidRPr="008D4727" w:rsidTr="0074655E">
        <w:trPr>
          <w:jc w:val="center"/>
        </w:trPr>
        <w:tc>
          <w:tcPr>
            <w:tcW w:w="3249" w:type="dxa"/>
          </w:tcPr>
          <w:p w:rsidR="008D4727" w:rsidRPr="008D4727" w:rsidRDefault="008D4727" w:rsidP="008D4727">
            <w:pPr>
              <w:spacing w:after="0" w:line="240" w:lineRule="auto"/>
              <w:rPr>
                <w:rFonts w:ascii="Arial" w:eastAsia="Times New Roman" w:hAnsi="Arial" w:cs="David"/>
                <w:b/>
                <w:bCs/>
                <w:sz w:val="28"/>
                <w:szCs w:val="28"/>
                <w:rtl/>
              </w:rPr>
            </w:pPr>
            <w:bookmarkStart w:id="2" w:name="FirstAppellant"/>
            <w:bookmarkStart w:id="3" w:name="FirstLawyer"/>
            <w:r w:rsidRPr="008D4727">
              <w:rPr>
                <w:rFonts w:ascii="Times New Roman" w:eastAsia="Times New Roman" w:hAnsi="Times New Roman" w:cs="David" w:hint="cs"/>
                <w:b/>
                <w:bCs/>
                <w:noProof/>
                <w:sz w:val="28"/>
                <w:szCs w:val="28"/>
                <w:rtl/>
              </w:rPr>
              <w:t>ה</w:t>
            </w:r>
            <w:r w:rsidRPr="008D4727">
              <w:rPr>
                <w:rFonts w:ascii="Arial" w:eastAsia="Times New Roman" w:hAnsi="Arial" w:cs="David" w:hint="cs"/>
                <w:b/>
                <w:bCs/>
                <w:sz w:val="28"/>
                <w:szCs w:val="28"/>
                <w:rtl/>
              </w:rPr>
              <w:t>תובעת</w:t>
            </w:r>
            <w:r w:rsidRPr="008D4727">
              <w:rPr>
                <w:rFonts w:ascii="Arial" w:eastAsia="Times New Roman" w:hAnsi="Arial" w:cs="David"/>
                <w:b/>
                <w:bCs/>
                <w:sz w:val="28"/>
                <w:szCs w:val="28"/>
                <w:rtl/>
              </w:rPr>
              <w:t xml:space="preserve">  </w:t>
            </w:r>
          </w:p>
        </w:tc>
        <w:tc>
          <w:tcPr>
            <w:tcW w:w="5571" w:type="dxa"/>
            <w:gridSpan w:val="2"/>
          </w:tcPr>
          <w:p w:rsidR="008D4727" w:rsidRPr="008D4727" w:rsidRDefault="008D4727" w:rsidP="008D4727">
            <w:pPr>
              <w:spacing w:after="0" w:line="240" w:lineRule="auto"/>
              <w:rPr>
                <w:rFonts w:ascii="Times New Roman" w:eastAsia="Times New Roman" w:hAnsi="Times New Roman" w:cs="David"/>
                <w:noProof/>
                <w:sz w:val="28"/>
                <w:szCs w:val="28"/>
                <w:rtl/>
              </w:rPr>
            </w:pPr>
            <w:r w:rsidRPr="008D4727">
              <w:rPr>
                <w:rFonts w:ascii="Arial" w:eastAsia="Times New Roman" w:hAnsi="Arial" w:cs="David" w:hint="cs"/>
                <w:b/>
                <w:bCs/>
                <w:sz w:val="28"/>
                <w:szCs w:val="28"/>
                <w:rtl/>
              </w:rPr>
              <w:t xml:space="preserve">ציונה בוחבוט, ת.ז. </w:t>
            </w:r>
          </w:p>
          <w:p w:rsidR="008D4727" w:rsidRPr="008D4727" w:rsidRDefault="008D4727" w:rsidP="008D4727">
            <w:pPr>
              <w:spacing w:after="0" w:line="240" w:lineRule="auto"/>
              <w:rPr>
                <w:rFonts w:ascii="Times New Roman" w:eastAsia="Times New Roman" w:hAnsi="Times New Roman" w:cs="David"/>
                <w:b/>
                <w:bCs/>
                <w:sz w:val="28"/>
                <w:szCs w:val="28"/>
              </w:rPr>
            </w:pPr>
            <w:r w:rsidRPr="008D4727">
              <w:rPr>
                <w:rFonts w:ascii="Times New Roman" w:eastAsia="Times New Roman" w:hAnsi="Times New Roman" w:cs="David" w:hint="cs"/>
                <w:b/>
                <w:bCs/>
                <w:noProof/>
                <w:sz w:val="28"/>
                <w:szCs w:val="28"/>
                <w:rtl/>
              </w:rPr>
              <w:t>ע"י ב"כ: עו"ד</w:t>
            </w:r>
            <w:r w:rsidRPr="008D4727">
              <w:rPr>
                <w:rFonts w:ascii="Times New Roman" w:eastAsia="Times New Roman" w:hAnsi="Times New Roman" w:cs="David" w:hint="cs"/>
                <w:b/>
                <w:bCs/>
                <w:sz w:val="28"/>
                <w:szCs w:val="28"/>
                <w:rtl/>
              </w:rPr>
              <w:t xml:space="preserve"> ענת רוזנר ואח'</w:t>
            </w:r>
          </w:p>
        </w:tc>
      </w:tr>
      <w:bookmarkEnd w:id="2"/>
      <w:bookmarkEnd w:id="3"/>
      <w:tr w:rsidR="008D4727" w:rsidRPr="008D4727" w:rsidTr="0074655E">
        <w:trPr>
          <w:jc w:val="center"/>
        </w:trPr>
        <w:tc>
          <w:tcPr>
            <w:tcW w:w="8820" w:type="dxa"/>
            <w:gridSpan w:val="3"/>
          </w:tcPr>
          <w:p w:rsidR="008D4727" w:rsidRPr="008D4727" w:rsidRDefault="008D4727" w:rsidP="008D4727">
            <w:pPr>
              <w:spacing w:after="0" w:line="240" w:lineRule="auto"/>
              <w:rPr>
                <w:rFonts w:ascii="Arial" w:eastAsia="Times New Roman" w:hAnsi="Arial" w:cs="David"/>
                <w:b/>
                <w:bCs/>
                <w:sz w:val="28"/>
                <w:szCs w:val="28"/>
                <w:rtl/>
              </w:rPr>
            </w:pPr>
          </w:p>
          <w:p w:rsidR="008D4727" w:rsidRPr="008D4727" w:rsidRDefault="008D4727" w:rsidP="008D4727">
            <w:pPr>
              <w:spacing w:after="0" w:line="240" w:lineRule="auto"/>
              <w:jc w:val="center"/>
              <w:rPr>
                <w:rFonts w:ascii="Arial" w:eastAsia="Times New Roman" w:hAnsi="Arial" w:cs="David"/>
                <w:b/>
                <w:bCs/>
                <w:sz w:val="28"/>
                <w:szCs w:val="28"/>
                <w:rtl/>
              </w:rPr>
            </w:pPr>
            <w:r w:rsidRPr="008D4727">
              <w:rPr>
                <w:rFonts w:ascii="Arial" w:eastAsia="Times New Roman" w:hAnsi="Arial" w:cs="David" w:hint="cs"/>
                <w:b/>
                <w:bCs/>
                <w:sz w:val="28"/>
                <w:szCs w:val="28"/>
                <w:rtl/>
              </w:rPr>
              <w:t>-</w:t>
            </w:r>
          </w:p>
          <w:p w:rsidR="008D4727" w:rsidRPr="008D4727" w:rsidRDefault="008D4727" w:rsidP="008D4727">
            <w:pPr>
              <w:spacing w:after="0" w:line="240" w:lineRule="auto"/>
              <w:rPr>
                <w:rFonts w:ascii="Arial" w:eastAsia="Times New Roman" w:hAnsi="Arial" w:cs="David"/>
                <w:b/>
                <w:bCs/>
                <w:sz w:val="28"/>
                <w:szCs w:val="28"/>
              </w:rPr>
            </w:pPr>
          </w:p>
        </w:tc>
      </w:tr>
      <w:tr w:rsidR="008D4727" w:rsidRPr="008D4727" w:rsidTr="0074655E">
        <w:trPr>
          <w:jc w:val="center"/>
        </w:trPr>
        <w:tc>
          <w:tcPr>
            <w:tcW w:w="3249" w:type="dxa"/>
          </w:tcPr>
          <w:p w:rsidR="008D4727" w:rsidRPr="008D4727" w:rsidRDefault="008D4727" w:rsidP="008D4727">
            <w:pPr>
              <w:spacing w:after="0" w:line="240" w:lineRule="auto"/>
              <w:rPr>
                <w:rFonts w:ascii="Arial" w:eastAsia="Times New Roman" w:hAnsi="Arial" w:cs="David"/>
                <w:b/>
                <w:bCs/>
                <w:sz w:val="28"/>
                <w:szCs w:val="28"/>
              </w:rPr>
            </w:pPr>
            <w:r w:rsidRPr="008D4727">
              <w:rPr>
                <w:rFonts w:ascii="Times New Roman" w:eastAsia="Times New Roman" w:hAnsi="Times New Roman" w:cs="David" w:hint="cs"/>
                <w:b/>
                <w:bCs/>
                <w:noProof/>
                <w:sz w:val="28"/>
                <w:szCs w:val="28"/>
                <w:rtl/>
              </w:rPr>
              <w:t>ה</w:t>
            </w:r>
            <w:r w:rsidRPr="008D4727">
              <w:rPr>
                <w:rFonts w:ascii="Arial" w:eastAsia="Times New Roman" w:hAnsi="Arial" w:cs="David" w:hint="cs"/>
                <w:b/>
                <w:bCs/>
                <w:sz w:val="28"/>
                <w:szCs w:val="28"/>
                <w:rtl/>
              </w:rPr>
              <w:t>נתבעת</w:t>
            </w:r>
            <w:r w:rsidRPr="008D4727">
              <w:rPr>
                <w:rFonts w:ascii="Arial" w:eastAsia="Times New Roman" w:hAnsi="Arial" w:cs="David"/>
                <w:b/>
                <w:bCs/>
                <w:sz w:val="28"/>
                <w:szCs w:val="28"/>
                <w:rtl/>
              </w:rPr>
              <w:t xml:space="preserve">  </w:t>
            </w:r>
          </w:p>
        </w:tc>
        <w:tc>
          <w:tcPr>
            <w:tcW w:w="5571" w:type="dxa"/>
            <w:gridSpan w:val="2"/>
          </w:tcPr>
          <w:p w:rsidR="008D4727" w:rsidRPr="008D4727" w:rsidRDefault="008D4727" w:rsidP="008D4727">
            <w:pPr>
              <w:spacing w:after="0" w:line="240" w:lineRule="auto"/>
              <w:rPr>
                <w:rFonts w:ascii="Times New Roman" w:eastAsia="Times New Roman" w:hAnsi="Times New Roman" w:cs="David"/>
                <w:noProof/>
                <w:sz w:val="28"/>
                <w:szCs w:val="28"/>
                <w:rtl/>
              </w:rPr>
            </w:pPr>
            <w:proofErr w:type="spellStart"/>
            <w:r w:rsidRPr="008D4727">
              <w:rPr>
                <w:rFonts w:ascii="Arial" w:eastAsia="Times New Roman" w:hAnsi="Arial" w:cs="David" w:hint="cs"/>
                <w:b/>
                <w:bCs/>
                <w:sz w:val="28"/>
                <w:szCs w:val="28"/>
                <w:rtl/>
              </w:rPr>
              <w:t>קרית</w:t>
            </w:r>
            <w:proofErr w:type="spellEnd"/>
            <w:r w:rsidRPr="008D4727">
              <w:rPr>
                <w:rFonts w:ascii="Arial" w:eastAsia="Times New Roman" w:hAnsi="Arial" w:cs="David" w:hint="cs"/>
                <w:b/>
                <w:bCs/>
                <w:sz w:val="28"/>
                <w:szCs w:val="28"/>
                <w:rtl/>
              </w:rPr>
              <w:t xml:space="preserve"> חינוך מגדל אור, </w:t>
            </w:r>
            <w:proofErr w:type="spellStart"/>
            <w:r w:rsidRPr="008D4727">
              <w:rPr>
                <w:rFonts w:ascii="Arial" w:eastAsia="Times New Roman" w:hAnsi="Arial" w:cs="David" w:hint="cs"/>
                <w:b/>
                <w:bCs/>
                <w:sz w:val="28"/>
                <w:szCs w:val="28"/>
                <w:rtl/>
              </w:rPr>
              <w:t>ע"ר</w:t>
            </w:r>
            <w:proofErr w:type="spellEnd"/>
            <w:r w:rsidRPr="008D4727">
              <w:rPr>
                <w:rFonts w:ascii="Arial" w:eastAsia="Times New Roman" w:hAnsi="Arial" w:cs="David" w:hint="cs"/>
                <w:b/>
                <w:bCs/>
                <w:sz w:val="28"/>
                <w:szCs w:val="28"/>
                <w:rtl/>
              </w:rPr>
              <w:t xml:space="preserve"> 580045755</w:t>
            </w:r>
            <w:r w:rsidRPr="008D4727">
              <w:rPr>
                <w:rFonts w:ascii="Arial" w:eastAsia="Times New Roman" w:hAnsi="Arial" w:cs="David"/>
                <w:b/>
                <w:bCs/>
                <w:sz w:val="28"/>
                <w:szCs w:val="28"/>
                <w:rtl/>
              </w:rPr>
              <w:t xml:space="preserve">  </w:t>
            </w:r>
          </w:p>
          <w:p w:rsidR="008D4727" w:rsidRPr="008D4727" w:rsidRDefault="008D4727" w:rsidP="008D4727">
            <w:pPr>
              <w:spacing w:after="0" w:line="240" w:lineRule="auto"/>
              <w:rPr>
                <w:rFonts w:ascii="Times New Roman" w:eastAsia="Times New Roman" w:hAnsi="Times New Roman" w:cs="David"/>
                <w:b/>
                <w:bCs/>
                <w:sz w:val="28"/>
                <w:szCs w:val="28"/>
                <w:rtl/>
              </w:rPr>
            </w:pPr>
            <w:r w:rsidRPr="008D4727">
              <w:rPr>
                <w:rFonts w:ascii="Times New Roman" w:eastAsia="Times New Roman" w:hAnsi="Times New Roman" w:cs="David" w:hint="cs"/>
                <w:b/>
                <w:bCs/>
                <w:noProof/>
                <w:sz w:val="28"/>
                <w:szCs w:val="28"/>
                <w:rtl/>
              </w:rPr>
              <w:t>ע"י ב"כ: עו"ד</w:t>
            </w:r>
            <w:r w:rsidRPr="008D4727">
              <w:rPr>
                <w:rFonts w:ascii="Times New Roman" w:eastAsia="Times New Roman" w:hAnsi="Times New Roman" w:cs="David" w:hint="cs"/>
                <w:b/>
                <w:bCs/>
                <w:sz w:val="28"/>
                <w:szCs w:val="28"/>
                <w:rtl/>
              </w:rPr>
              <w:t xml:space="preserve"> יורם אלרואי ואח'</w:t>
            </w:r>
          </w:p>
        </w:tc>
      </w:tr>
    </w:tbl>
    <w:p w:rsidR="008D4727" w:rsidRPr="008D4727" w:rsidRDefault="008D4727" w:rsidP="008D4727">
      <w:pPr>
        <w:spacing w:after="120" w:line="240" w:lineRule="exact"/>
        <w:ind w:left="283" w:hanging="283"/>
        <w:jc w:val="both"/>
        <w:rPr>
          <w:rFonts w:ascii="FrankRuehl" w:eastAsia="Times New Roman" w:hAnsi="FrankRuehl" w:cs="FrankRuehl"/>
          <w:noProof/>
          <w:sz w:val="24"/>
          <w:szCs w:val="24"/>
          <w:rtl/>
        </w:rPr>
      </w:pPr>
      <w:bookmarkStart w:id="4" w:name="LawTable"/>
      <w:bookmarkEnd w:id="4"/>
    </w:p>
    <w:p w:rsidR="008D4727" w:rsidRPr="008D4727" w:rsidRDefault="008D4727" w:rsidP="008D4727">
      <w:pPr>
        <w:spacing w:after="120" w:line="240" w:lineRule="exact"/>
        <w:ind w:left="283" w:hanging="283"/>
        <w:jc w:val="both"/>
        <w:rPr>
          <w:rFonts w:ascii="FrankRuehl" w:eastAsia="Times New Roman" w:hAnsi="FrankRuehl" w:cs="FrankRuehl"/>
          <w:noProof/>
          <w:sz w:val="24"/>
          <w:szCs w:val="24"/>
          <w:rtl/>
        </w:rPr>
      </w:pPr>
      <w:r w:rsidRPr="008D4727">
        <w:rPr>
          <w:rFonts w:ascii="FrankRuehl" w:eastAsia="Times New Roman" w:hAnsi="FrankRuehl" w:cs="FrankRuehl"/>
          <w:noProof/>
          <w:sz w:val="24"/>
          <w:szCs w:val="24"/>
          <w:rtl/>
        </w:rPr>
        <w:t xml:space="preserve">חקיקה שאוזכרה: </w:t>
      </w:r>
    </w:p>
    <w:p w:rsidR="008D4727" w:rsidRPr="008D4727" w:rsidRDefault="00583680" w:rsidP="008D4727">
      <w:pPr>
        <w:spacing w:after="120" w:line="240" w:lineRule="exact"/>
        <w:ind w:left="283" w:hanging="283"/>
        <w:jc w:val="both"/>
        <w:rPr>
          <w:rFonts w:ascii="FrankRuehl" w:eastAsia="Times New Roman" w:hAnsi="FrankRuehl" w:cs="FrankRuehl"/>
          <w:noProof/>
          <w:sz w:val="24"/>
          <w:szCs w:val="24"/>
          <w:rtl/>
        </w:rPr>
      </w:pPr>
      <w:hyperlink r:id="rId6" w:history="1">
        <w:r w:rsidR="008D4727" w:rsidRPr="008D4727">
          <w:rPr>
            <w:rFonts w:ascii="FrankRuehl" w:eastAsia="Times New Roman" w:hAnsi="FrankRuehl" w:cs="FrankRuehl"/>
            <w:noProof/>
            <w:color w:val="0000FF"/>
            <w:sz w:val="24"/>
            <w:szCs w:val="24"/>
            <w:u w:val="single"/>
            <w:rtl/>
          </w:rPr>
          <w:t>חוק שוויון ההזדמנויות בעבודה, תשמ"ח-1988</w:t>
        </w:r>
      </w:hyperlink>
      <w:r w:rsidR="008D4727" w:rsidRPr="008D4727">
        <w:rPr>
          <w:rFonts w:ascii="FrankRuehl" w:eastAsia="Times New Roman" w:hAnsi="FrankRuehl" w:cs="FrankRuehl"/>
          <w:noProof/>
          <w:sz w:val="24"/>
          <w:szCs w:val="24"/>
          <w:rtl/>
        </w:rPr>
        <w:t xml:space="preserve">: סע'  </w:t>
      </w:r>
      <w:hyperlink r:id="rId7" w:history="1">
        <w:r w:rsidR="008D4727" w:rsidRPr="008D4727">
          <w:rPr>
            <w:rFonts w:ascii="FrankRuehl" w:eastAsia="Times New Roman" w:hAnsi="FrankRuehl" w:cs="FrankRuehl"/>
            <w:noProof/>
            <w:color w:val="0000FF"/>
            <w:sz w:val="24"/>
            <w:szCs w:val="24"/>
            <w:u w:val="single"/>
            <w:rtl/>
          </w:rPr>
          <w:t>2</w:t>
        </w:r>
      </w:hyperlink>
      <w:r w:rsidR="008D4727" w:rsidRPr="008D4727">
        <w:rPr>
          <w:rFonts w:ascii="FrankRuehl" w:eastAsia="Times New Roman" w:hAnsi="FrankRuehl" w:cs="FrankRuehl"/>
          <w:noProof/>
          <w:sz w:val="24"/>
          <w:szCs w:val="24"/>
          <w:rtl/>
        </w:rPr>
        <w:t xml:space="preserve">, </w:t>
      </w:r>
      <w:hyperlink r:id="rId8" w:history="1">
        <w:r w:rsidR="008D4727" w:rsidRPr="008D4727">
          <w:rPr>
            <w:rFonts w:ascii="FrankRuehl" w:eastAsia="Times New Roman" w:hAnsi="FrankRuehl" w:cs="FrankRuehl"/>
            <w:noProof/>
            <w:color w:val="0000FF"/>
            <w:sz w:val="24"/>
            <w:szCs w:val="24"/>
            <w:u w:val="single"/>
            <w:rtl/>
          </w:rPr>
          <w:t>2(א)</w:t>
        </w:r>
      </w:hyperlink>
      <w:r w:rsidR="008D4727" w:rsidRPr="008D4727">
        <w:rPr>
          <w:rFonts w:ascii="FrankRuehl" w:eastAsia="Times New Roman" w:hAnsi="FrankRuehl" w:cs="FrankRuehl"/>
          <w:noProof/>
          <w:sz w:val="24"/>
          <w:szCs w:val="24"/>
          <w:rtl/>
        </w:rPr>
        <w:t xml:space="preserve">, </w:t>
      </w:r>
      <w:hyperlink r:id="rId9" w:history="1">
        <w:r w:rsidR="008D4727" w:rsidRPr="008D4727">
          <w:rPr>
            <w:rFonts w:ascii="FrankRuehl" w:eastAsia="Times New Roman" w:hAnsi="FrankRuehl" w:cs="FrankRuehl"/>
            <w:noProof/>
            <w:color w:val="0000FF"/>
            <w:sz w:val="24"/>
            <w:szCs w:val="24"/>
            <w:u w:val="single"/>
            <w:rtl/>
          </w:rPr>
          <w:t>9</w:t>
        </w:r>
      </w:hyperlink>
    </w:p>
    <w:p w:rsidR="008D4727" w:rsidRPr="008D4727" w:rsidRDefault="00583680" w:rsidP="008D4727">
      <w:pPr>
        <w:spacing w:after="120" w:line="240" w:lineRule="exact"/>
        <w:ind w:left="283" w:hanging="283"/>
        <w:jc w:val="both"/>
        <w:rPr>
          <w:rFonts w:ascii="FrankRuehl" w:eastAsia="Times New Roman" w:hAnsi="FrankRuehl" w:cs="FrankRuehl"/>
          <w:noProof/>
          <w:sz w:val="24"/>
          <w:szCs w:val="24"/>
          <w:rtl/>
        </w:rPr>
      </w:pPr>
      <w:hyperlink r:id="rId10" w:history="1">
        <w:r w:rsidR="008D4727" w:rsidRPr="008D4727">
          <w:rPr>
            <w:rFonts w:ascii="FrankRuehl" w:eastAsia="Times New Roman" w:hAnsi="FrankRuehl" w:cs="FrankRuehl"/>
            <w:noProof/>
            <w:color w:val="0000FF"/>
            <w:sz w:val="24"/>
            <w:szCs w:val="24"/>
            <w:u w:val="single"/>
            <w:rtl/>
          </w:rPr>
          <w:t>חוק שירות בטחון [נוסח משולב], תשמ"ו-1986</w:t>
        </w:r>
      </w:hyperlink>
    </w:p>
    <w:p w:rsidR="008D4727" w:rsidRPr="008D4727" w:rsidRDefault="00583680" w:rsidP="008D4727">
      <w:pPr>
        <w:spacing w:after="120" w:line="240" w:lineRule="exact"/>
        <w:ind w:left="283" w:hanging="283"/>
        <w:jc w:val="both"/>
        <w:rPr>
          <w:rFonts w:ascii="FrankRuehl" w:eastAsia="Times New Roman" w:hAnsi="FrankRuehl" w:cs="FrankRuehl"/>
          <w:noProof/>
          <w:sz w:val="24"/>
          <w:szCs w:val="24"/>
          <w:rtl/>
        </w:rPr>
      </w:pPr>
      <w:hyperlink r:id="rId11" w:history="1">
        <w:r w:rsidR="008D4727" w:rsidRPr="008D4727">
          <w:rPr>
            <w:rFonts w:ascii="FrankRuehl" w:eastAsia="Times New Roman" w:hAnsi="FrankRuehl" w:cs="FrankRuehl"/>
            <w:noProof/>
            <w:color w:val="0000FF"/>
            <w:sz w:val="24"/>
            <w:szCs w:val="24"/>
            <w:u w:val="single"/>
            <w:rtl/>
          </w:rPr>
          <w:t>חוק הודעה מוקדמת לפיטורים ולהתפטרות, תשס"א-2001</w:t>
        </w:r>
      </w:hyperlink>
    </w:p>
    <w:p w:rsidR="008D4727" w:rsidRPr="008D4727" w:rsidRDefault="00583680" w:rsidP="008D4727">
      <w:pPr>
        <w:spacing w:after="120" w:line="240" w:lineRule="exact"/>
        <w:ind w:left="283" w:hanging="283"/>
        <w:jc w:val="both"/>
        <w:rPr>
          <w:rFonts w:ascii="FrankRuehl" w:eastAsia="Times New Roman" w:hAnsi="FrankRuehl" w:cs="FrankRuehl"/>
          <w:noProof/>
          <w:sz w:val="24"/>
          <w:szCs w:val="24"/>
          <w:rtl/>
        </w:rPr>
      </w:pPr>
      <w:hyperlink r:id="rId12" w:history="1">
        <w:r w:rsidR="008D4727" w:rsidRPr="008D4727">
          <w:rPr>
            <w:rFonts w:ascii="FrankRuehl" w:eastAsia="Times New Roman" w:hAnsi="FrankRuehl" w:cs="FrankRuehl"/>
            <w:noProof/>
            <w:color w:val="0000FF"/>
            <w:sz w:val="24"/>
            <w:szCs w:val="24"/>
            <w:u w:val="single"/>
            <w:rtl/>
          </w:rPr>
          <w:t>חוק הגנת השכר, תשי"ח-1958</w:t>
        </w:r>
      </w:hyperlink>
      <w:r w:rsidR="008D4727" w:rsidRPr="008D4727">
        <w:rPr>
          <w:rFonts w:ascii="FrankRuehl" w:eastAsia="Times New Roman" w:hAnsi="FrankRuehl" w:cs="FrankRuehl"/>
          <w:noProof/>
          <w:sz w:val="24"/>
          <w:szCs w:val="24"/>
          <w:rtl/>
        </w:rPr>
        <w:t xml:space="preserve">: סע'  </w:t>
      </w:r>
      <w:hyperlink r:id="rId13" w:history="1">
        <w:r w:rsidR="008D4727" w:rsidRPr="008D4727">
          <w:rPr>
            <w:rFonts w:ascii="FrankRuehl" w:eastAsia="Times New Roman" w:hAnsi="FrankRuehl" w:cs="FrankRuehl"/>
            <w:noProof/>
            <w:color w:val="0000FF"/>
            <w:sz w:val="24"/>
            <w:szCs w:val="24"/>
            <w:u w:val="single"/>
            <w:rtl/>
          </w:rPr>
          <w:t>20(א)(1)</w:t>
        </w:r>
      </w:hyperlink>
      <w:r w:rsidR="008D4727" w:rsidRPr="008D4727">
        <w:rPr>
          <w:rFonts w:ascii="FrankRuehl" w:eastAsia="Times New Roman" w:hAnsi="FrankRuehl" w:cs="FrankRuehl"/>
          <w:noProof/>
          <w:sz w:val="24"/>
          <w:szCs w:val="24"/>
          <w:rtl/>
        </w:rPr>
        <w:t xml:space="preserve">, </w:t>
      </w:r>
      <w:hyperlink r:id="rId14" w:history="1">
        <w:r w:rsidR="008D4727" w:rsidRPr="008D4727">
          <w:rPr>
            <w:rFonts w:ascii="FrankRuehl" w:eastAsia="Times New Roman" w:hAnsi="FrankRuehl" w:cs="FrankRuehl"/>
            <w:noProof/>
            <w:color w:val="0000FF"/>
            <w:sz w:val="24"/>
            <w:szCs w:val="24"/>
            <w:u w:val="single"/>
            <w:rtl/>
          </w:rPr>
          <w:t>20(ה)</w:t>
        </w:r>
      </w:hyperlink>
    </w:p>
    <w:p w:rsidR="008D4727" w:rsidRPr="008D4727" w:rsidRDefault="008D4727" w:rsidP="008D4727">
      <w:pPr>
        <w:spacing w:after="120" w:line="240" w:lineRule="exact"/>
        <w:ind w:left="283" w:hanging="283"/>
        <w:jc w:val="both"/>
        <w:rPr>
          <w:rFonts w:ascii="FrankRuehl" w:eastAsia="Times New Roman" w:hAnsi="FrankRuehl" w:cs="FrankRuehl"/>
          <w:noProof/>
          <w:sz w:val="24"/>
          <w:szCs w:val="24"/>
          <w:rtl/>
        </w:rPr>
      </w:pP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bookmarkStart w:id="5" w:name="LawTable_End"/>
      <w:bookmarkStart w:id="6" w:name="ABSTRACT_START"/>
      <w:bookmarkEnd w:id="5"/>
      <w:bookmarkEnd w:id="6"/>
      <w:r w:rsidRPr="008D4727">
        <w:rPr>
          <w:rFonts w:ascii="Times New Roman" w:eastAsia="Times New Roman" w:hAnsi="Times New Roman" w:cs="FrankRuehl"/>
          <w:sz w:val="24"/>
          <w:szCs w:val="26"/>
          <w:rtl/>
        </w:rPr>
        <w:t>מיני-רציו:</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noProof/>
          <w:sz w:val="24"/>
          <w:szCs w:val="26"/>
        </w:rPr>
      </w:pPr>
      <w:r w:rsidRPr="008D4727">
        <w:rPr>
          <w:rFonts w:ascii="Times New Roman" w:eastAsia="Times New Roman" w:hAnsi="Times New Roman" w:cs="FrankRuehl" w:hint="cs"/>
          <w:sz w:val="24"/>
          <w:szCs w:val="26"/>
          <w:rtl/>
        </w:rPr>
        <w:t xml:space="preserve">* </w:t>
      </w:r>
      <w:r w:rsidRPr="008D4727">
        <w:rPr>
          <w:rFonts w:ascii="Times New Roman" w:eastAsia="Times New Roman" w:hAnsi="Times New Roman" w:cs="FrankRuehl"/>
          <w:sz w:val="24"/>
          <w:szCs w:val="26"/>
          <w:rtl/>
        </w:rPr>
        <w:t xml:space="preserve">בגין פיטורי התובעת שלא כדין, תוך הפלייתה מחמת גיל והפרת זכות הטיעון, הנתבעת תפצה את התובעת בגין אובדן השתכרות, בגין הפרת הוראות חוק שוויון הזדמנויות בעבודה ובגין הפרת זכות השימוע בסך כולל של 96,000 ₪. </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sz w:val="24"/>
          <w:szCs w:val="26"/>
          <w:rtl/>
        </w:rPr>
        <w:t>* עבודה –  שוויון בעבודה –  איסור הפליה מחמת גיל</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sz w:val="24"/>
          <w:szCs w:val="26"/>
          <w:rtl/>
        </w:rPr>
        <w:t>* עבודה –  שוויון הזדמנויות בעבודה –  איסור הפליה</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sz w:val="24"/>
          <w:szCs w:val="26"/>
          <w:rtl/>
        </w:rPr>
        <w:t>* עבודה –  פיטורין –  שלא כדין</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sz w:val="24"/>
          <w:szCs w:val="26"/>
          <w:rtl/>
        </w:rPr>
        <w:t>* עבודה –  פיטורין –  זכות לשימוע</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sz w:val="24"/>
          <w:szCs w:val="26"/>
          <w:rtl/>
        </w:rPr>
        <w:t>* עבודה –  פיטורין –  פיצויים</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hint="cs"/>
          <w:sz w:val="24"/>
          <w:szCs w:val="26"/>
          <w:rtl/>
        </w:rPr>
        <w:t>.</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sz w:val="24"/>
          <w:szCs w:val="26"/>
          <w:rtl/>
        </w:rPr>
        <w:t>התובעת עבדה במשך למעלה מ-18 שנים בשירות הנתבעת, ושימשה אם בית ומדריכה ב"אולפנת הגליל" (להלן: האולפנה) אותה ניהלה הנתבעת. התובעת פוטרה מעבודתה לאלתר. בתובענה עותרת התובעת לפיצויים בגין פיטורים שלא כדין, על בסיס הטענה לפיה לגישתה פוטרה בחוסר תום לב, מחמת גילה, ותוך הפרת זכותה לשימוע. כמו-כן, עתרה התובעת לתמורת הודעה מוקדמת, להפרשי פיצויי פיצויים, ולפיצויי הלנת פיצויי פיטורים.</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hint="cs"/>
          <w:sz w:val="24"/>
          <w:szCs w:val="26"/>
          <w:rtl/>
        </w:rPr>
        <w:t>.</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sz w:val="24"/>
          <w:szCs w:val="26"/>
          <w:rtl/>
        </w:rPr>
        <w:lastRenderedPageBreak/>
        <w:t xml:space="preserve">בית הדין האזורי לעבודה (הנשיאה ו' שפר ונציגי הציבור י' </w:t>
      </w:r>
      <w:proofErr w:type="spellStart"/>
      <w:r w:rsidRPr="008D4727">
        <w:rPr>
          <w:rFonts w:ascii="Times New Roman" w:eastAsia="Times New Roman" w:hAnsi="Times New Roman" w:cs="FrankRuehl"/>
          <w:sz w:val="24"/>
          <w:szCs w:val="26"/>
          <w:rtl/>
        </w:rPr>
        <w:t>קריספיל</w:t>
      </w:r>
      <w:proofErr w:type="spellEnd"/>
      <w:r w:rsidRPr="008D4727">
        <w:rPr>
          <w:rFonts w:ascii="Times New Roman" w:eastAsia="Times New Roman" w:hAnsi="Times New Roman" w:cs="FrankRuehl"/>
          <w:sz w:val="24"/>
          <w:szCs w:val="26"/>
          <w:rtl/>
        </w:rPr>
        <w:t>, ד' רוזנברג) קיבל את התביעה בחלקה ופסק כי:</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sz w:val="24"/>
          <w:szCs w:val="26"/>
          <w:rtl/>
        </w:rPr>
        <w:t xml:space="preserve">אשר לשאלה האם התובעת הופלתה מחמת גילה, הנתבעת החליטה על שינוי מסוים באופי פעילותה באחת מזרועותיה, קרי על סגירת האולפנה ועל פתיחת אולפנה חדשה, ונדרשה להחליט על גורל התובעת – האם תשאיר אותה לעבוד בתפקיד אם בית באולפנה החדשה, או שתפטרה. נסיבות העניין מצדיקות היפוך נטל ההוכחה לפי סעיף 9 לחוק שוויון ההזדמנויות בעבודה. נסיבות הפיטורים מבססות מסקנה של הפליה לכאורה. הוכח כי במועד שבו הוחלט על סגירת האולפנה, הנתבעת ביקשה לאייש משרת אם בית באולפנה החדשה, אולם היא החליטה שלא להציב בה את התובעת, והעדיפה עובדת צעירה יותר, אף מבלי שהתובעת זומנה לראיון, חרף העובדה שהתובעת מילאה תפקיד דומה באולפנה בצורה טובה וחרף ניסיונה הרב. אף לאחר שנבחרה העובדת הצעירה, נבחרה אם בית נוספת, צעירה חסרת ניסיון. נסיבות אלו, מחלישות את הטענה שהתובעת פוטרה על בסיס שיקולים ענייניים, ויש בהן כדי לבסס מסקנה לכאורית של הפליה, ולהצדיק היפוך נטל ההוכחה והטלתו על הנתבעת. עם זאת, היפוך נטל ההוכחה אינו סוף פסוק. היה בידי הנתבעת להוכיח כי התובעת פוטרה על יסוד שיקולים ענייניים, ולהראות כי מה שנחזה כהפליה לכאורה, איננו הפליה כלל ועיקר. אלא שהנתבעת לא הרימה את הנטל להוכיח כי לא פעלה באופן מפלה. לפיכך הוכח כי התובעת פוטרה שלא כדין, תוך הפלייתה מחמת גילה. </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sz w:val="24"/>
          <w:szCs w:val="26"/>
          <w:rtl/>
        </w:rPr>
      </w:pPr>
      <w:r w:rsidRPr="008D4727">
        <w:rPr>
          <w:rFonts w:ascii="Times New Roman" w:eastAsia="Times New Roman" w:hAnsi="Times New Roman" w:cs="FrankRuehl"/>
          <w:sz w:val="24"/>
          <w:szCs w:val="26"/>
          <w:rtl/>
        </w:rPr>
        <w:t>בטרם התקבלה ההחלטה לפטר את התובעת, לא נערך לה שימוע כדין. לא הוצגו בפני התובעת הטענות נגדה שביסוד פיטוריה, לא ניתנה לה שהות ללמדן, היא לא הוזמנה לשיחה אישית, וממילא נמענה ממנה האפשרות להיות מיוצגת, ולא ניתנה להזדמנות לסתור את הטענות, ולשכנע את הנתבעת לשנות את עמדתה. הליך השימוע לא תועד, והחלטת הפיטורים לא נומקה. לא הוכח כי פיטורי התובעת היו "כורח המציאות". לו נערך לתובעת שימוע כדין, יש סיכויים ממשיים כי היה בידיה לשכנע את הנתבעת לשנות את רוע הגזירה. לפיכך, פיטורי התובעת אינם כדין, אף משום כך שהנתבעת הפרה את חובתה לערוך לתובעת שימוע כהלכתו עובר לפיטוריה.</w:t>
      </w:r>
    </w:p>
    <w:p w:rsidR="008D4727" w:rsidRPr="008D4727" w:rsidRDefault="008D4727" w:rsidP="008D4727">
      <w:pPr>
        <w:pBdr>
          <w:top w:val="single" w:sz="4" w:space="1" w:color="auto"/>
          <w:bottom w:val="single" w:sz="4" w:space="1" w:color="auto"/>
        </w:pBdr>
        <w:spacing w:after="120" w:line="320" w:lineRule="exact"/>
        <w:jc w:val="both"/>
        <w:rPr>
          <w:rFonts w:ascii="Times New Roman" w:eastAsia="Times New Roman" w:hAnsi="Times New Roman" w:cs="FrankRuehl"/>
          <w:noProof/>
          <w:sz w:val="24"/>
          <w:szCs w:val="26"/>
        </w:rPr>
      </w:pPr>
      <w:r w:rsidRPr="008D4727">
        <w:rPr>
          <w:rFonts w:ascii="Times New Roman" w:eastAsia="Times New Roman" w:hAnsi="Times New Roman" w:cs="FrankRuehl"/>
          <w:sz w:val="24"/>
          <w:szCs w:val="26"/>
          <w:rtl/>
        </w:rPr>
        <w:t xml:space="preserve">בגין פיטורי התובעת שלא כדין, תוך הפלייתה והפרת זכות הטיעון, על הנתבעת לפצות את התובעת בגין אובדן השתכרות, סך של 25,000 ₪; בגין הפרת הוראות חוק השוויון סך של 50,000 ש"ח; בגין הפרת זכות התובעת לשימוע סך של 21,000 ₪. כן זכאית התובעת ליתרת תמורת הודעה מוקדמת, הפרשי פיצויי פיטורים ופיצויי הלנת פיצויי פיטורים מופחתים בסך 25,000 ₪ בגין עיכוב משמעותי (כ-8.5 חודשים) במתן הודעת שחרור כספי הפיצויים שנצברו בקופת הגמל; טענת הקיזוז שהעלתה הנתבעת נדחתה בהעדר הוכחה. </w:t>
      </w:r>
    </w:p>
    <w:p w:rsidR="008D4727" w:rsidRPr="008D4727" w:rsidRDefault="008D4727" w:rsidP="008D4727">
      <w:pPr>
        <w:spacing w:after="120" w:line="240" w:lineRule="exact"/>
        <w:ind w:left="283" w:hanging="283"/>
        <w:jc w:val="both"/>
        <w:rPr>
          <w:rFonts w:ascii="FrankRuehl" w:eastAsia="Times New Roman" w:hAnsi="FrankRuehl" w:cs="FrankRuehl"/>
          <w:sz w:val="24"/>
          <w:szCs w:val="24"/>
          <w:rtl/>
        </w:rPr>
      </w:pPr>
      <w:bookmarkStart w:id="7" w:name="ABSTRACT_END"/>
      <w:bookmarkEnd w:id="7"/>
    </w:p>
    <w:tbl>
      <w:tblPr>
        <w:bidiVisual/>
        <w:tblW w:w="8820" w:type="dxa"/>
        <w:jc w:val="center"/>
        <w:tblLook w:val="01E0" w:firstRow="1" w:lastRow="1" w:firstColumn="1" w:lastColumn="1" w:noHBand="0" w:noVBand="0"/>
      </w:tblPr>
      <w:tblGrid>
        <w:gridCol w:w="8820"/>
      </w:tblGrid>
      <w:tr w:rsidR="008D4727" w:rsidRPr="008D4727" w:rsidTr="0074655E">
        <w:trPr>
          <w:jc w:val="center"/>
        </w:trPr>
        <w:tc>
          <w:tcPr>
            <w:tcW w:w="8820" w:type="dxa"/>
          </w:tcPr>
          <w:p w:rsidR="008D4727" w:rsidRPr="008D4727" w:rsidRDefault="008D4727" w:rsidP="008D4727">
            <w:pPr>
              <w:bidi w:val="0"/>
              <w:spacing w:after="0" w:line="240" w:lineRule="auto"/>
              <w:jc w:val="center"/>
              <w:rPr>
                <w:rFonts w:ascii="Arial" w:eastAsia="Times New Roman" w:hAnsi="Arial" w:cs="David"/>
                <w:b/>
                <w:bCs/>
                <w:sz w:val="28"/>
                <w:szCs w:val="28"/>
                <w:u w:val="single"/>
              </w:rPr>
            </w:pPr>
            <w:bookmarkStart w:id="8" w:name="PsakDin" w:colFirst="0" w:colLast="0"/>
            <w:bookmarkEnd w:id="0"/>
            <w:r w:rsidRPr="008D4727">
              <w:rPr>
                <w:rFonts w:ascii="Arial" w:eastAsia="Times New Roman" w:hAnsi="Arial" w:cs="David"/>
                <w:b/>
                <w:bCs/>
                <w:sz w:val="28"/>
                <w:szCs w:val="28"/>
                <w:u w:val="single"/>
                <w:rtl/>
              </w:rPr>
              <w:t>פסק דין</w:t>
            </w:r>
          </w:p>
        </w:tc>
      </w:tr>
      <w:bookmarkEnd w:id="8"/>
    </w:tbl>
    <w:p w:rsidR="008D4727" w:rsidRPr="008D4727" w:rsidRDefault="008D4727" w:rsidP="008D4727">
      <w:pPr>
        <w:spacing w:after="0" w:line="360" w:lineRule="auto"/>
        <w:jc w:val="both"/>
        <w:rPr>
          <w:rFonts w:ascii="Arial" w:eastAsia="Times New Roman" w:hAnsi="Arial" w:cs="David"/>
          <w:sz w:val="28"/>
          <w:szCs w:val="28"/>
          <w:rtl/>
        </w:rPr>
      </w:pPr>
    </w:p>
    <w:p w:rsidR="008D4727" w:rsidRPr="008D4727" w:rsidRDefault="008D4727" w:rsidP="008D4727">
      <w:p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התובעת </w:t>
      </w:r>
      <w:r w:rsidRPr="008D4727">
        <w:rPr>
          <w:rFonts w:ascii="Times New Roman" w:eastAsia="Times New Roman" w:hAnsi="Times New Roman" w:cs="David" w:hint="cs"/>
          <w:noProof/>
          <w:sz w:val="28"/>
          <w:szCs w:val="28"/>
          <w:rtl/>
        </w:rPr>
        <w:t xml:space="preserve">עבדה </w:t>
      </w:r>
      <w:r w:rsidRPr="008D4727">
        <w:rPr>
          <w:rFonts w:ascii="Times New Roman" w:eastAsia="Times New Roman" w:hAnsi="Times New Roman" w:cs="David"/>
          <w:noProof/>
          <w:sz w:val="28"/>
          <w:szCs w:val="28"/>
          <w:rtl/>
        </w:rPr>
        <w:t>במשך למעלה מ-18 שנים</w:t>
      </w:r>
      <w:r w:rsidRPr="008D4727">
        <w:rPr>
          <w:rFonts w:ascii="Times New Roman" w:eastAsia="Times New Roman" w:hAnsi="Times New Roman" w:cs="David" w:hint="cs"/>
          <w:noProof/>
          <w:sz w:val="28"/>
          <w:szCs w:val="28"/>
          <w:rtl/>
        </w:rPr>
        <w:t xml:space="preserve"> בשירות הנתבעת</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hint="cs"/>
          <w:noProof/>
          <w:sz w:val="28"/>
          <w:szCs w:val="28"/>
          <w:rtl/>
        </w:rPr>
        <w:t xml:space="preserve">ושימשה </w:t>
      </w:r>
      <w:r w:rsidRPr="008D4727">
        <w:rPr>
          <w:rFonts w:ascii="Times New Roman" w:eastAsia="Times New Roman" w:hAnsi="Times New Roman" w:cs="David"/>
          <w:noProof/>
          <w:sz w:val="28"/>
          <w:szCs w:val="28"/>
          <w:rtl/>
        </w:rPr>
        <w:t>אם בית ומדריכה באולפנת הגליל, ופוטרה מעבודתה.</w:t>
      </w:r>
    </w:p>
    <w:p w:rsidR="008D4727" w:rsidRPr="008D4727" w:rsidRDefault="008D4727" w:rsidP="008D4727">
      <w:p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בתובענה שלפנינו, עותרת התובעת לפיצויים בגין פיטורים שלא כדין</w:t>
      </w:r>
      <w:r w:rsidRPr="008D4727">
        <w:rPr>
          <w:rFonts w:ascii="Times New Roman" w:eastAsia="Times New Roman" w:hAnsi="Times New Roman" w:cs="David" w:hint="cs"/>
          <w:noProof/>
          <w:sz w:val="28"/>
          <w:szCs w:val="28"/>
          <w:rtl/>
        </w:rPr>
        <w:t>, וזאת על בסיס הטענה לפיה לגישתה</w:t>
      </w:r>
      <w:r w:rsidRPr="008D4727">
        <w:rPr>
          <w:rFonts w:ascii="Times New Roman" w:eastAsia="Times New Roman" w:hAnsi="Times New Roman" w:cs="David"/>
          <w:noProof/>
          <w:sz w:val="28"/>
          <w:szCs w:val="28"/>
          <w:rtl/>
        </w:rPr>
        <w:t xml:space="preserve"> פוטרה בחוסר תום לב, מחמת גילה, ותוך הפרת זכותה לשימוע.</w:t>
      </w:r>
    </w:p>
    <w:p w:rsidR="008D4727" w:rsidRPr="008D4727" w:rsidRDefault="008D4727" w:rsidP="008D4727">
      <w:p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כמו-כן, עתרה התובעת לתמורת הודעה מוקדמת, להפרשי פיצויי פיצויים, ולפיצויי הלנת פיצויי פיטורים.</w:t>
      </w:r>
    </w:p>
    <w:p w:rsidR="008D4727" w:rsidRPr="008D4727" w:rsidRDefault="008D4727" w:rsidP="008D4727">
      <w:pPr>
        <w:spacing w:after="120" w:line="360" w:lineRule="auto"/>
        <w:jc w:val="both"/>
        <w:rPr>
          <w:rFonts w:ascii="Times New Roman" w:eastAsia="Times New Roman" w:hAnsi="Times New Roman" w:cs="David"/>
          <w:noProof/>
          <w:sz w:val="28"/>
          <w:szCs w:val="28"/>
          <w:rtl/>
        </w:rPr>
      </w:pP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u w:val="single"/>
        </w:rPr>
      </w:pPr>
      <w:r w:rsidRPr="008D4727">
        <w:rPr>
          <w:rFonts w:ascii="Times New Roman" w:eastAsia="Times New Roman" w:hAnsi="Times New Roman" w:cs="David"/>
          <w:b/>
          <w:bCs/>
          <w:noProof/>
          <w:sz w:val="28"/>
          <w:szCs w:val="28"/>
          <w:u w:val="single"/>
          <w:rtl/>
        </w:rPr>
        <w:t>להלן יפורטו העובדות העיקריות הצריכות להכרעתנו, אשר רובן ככולן אינן שנויות במחלוקת:</w:t>
      </w:r>
    </w:p>
    <w:p w:rsidR="008D4727" w:rsidRPr="008D4727" w:rsidRDefault="008D4727" w:rsidP="008D4727">
      <w:pPr>
        <w:numPr>
          <w:ilvl w:val="1"/>
          <w:numId w:val="1"/>
        </w:numPr>
        <w:tabs>
          <w:tab w:val="num" w:pos="785"/>
        </w:tabs>
        <w:spacing w:after="120" w:line="360" w:lineRule="auto"/>
        <w:ind w:left="785"/>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הנתבעת, עמותה רשומה, מנהלת קריית חינוך במגדל העמק. קריית החינוך כוללת מוסדות חינוך שונים למגזר הדתי, במסגרתם מועסקים כמה מאות עובדים.</w:t>
      </w:r>
    </w:p>
    <w:p w:rsidR="008D4727" w:rsidRPr="008D4727" w:rsidRDefault="008D4727" w:rsidP="008D4727">
      <w:pPr>
        <w:spacing w:after="120" w:line="360" w:lineRule="auto"/>
        <w:ind w:left="785"/>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בין מוסדות אלו, נוהלה על ידי הנתבעת  "אולפנת הגליל", שהייתה פנימייה לבנות יוצאות חבר העמים, בכיתות ז' עד יב' (להלן: </w:t>
      </w:r>
      <w:r w:rsidRPr="008D4727">
        <w:rPr>
          <w:rFonts w:ascii="Times New Roman" w:eastAsia="Times New Roman" w:hAnsi="Times New Roman" w:cs="David"/>
          <w:b/>
          <w:bCs/>
          <w:noProof/>
          <w:sz w:val="28"/>
          <w:szCs w:val="28"/>
          <w:rtl/>
        </w:rPr>
        <w:t>"האולפנה" או "הפנימייה"</w:t>
      </w:r>
      <w:r w:rsidRPr="008D4727">
        <w:rPr>
          <w:rFonts w:ascii="Times New Roman" w:eastAsia="Times New Roman" w:hAnsi="Times New Roman" w:cs="David"/>
          <w:noProof/>
          <w:sz w:val="28"/>
          <w:szCs w:val="28"/>
          <w:rtl/>
        </w:rPr>
        <w:t>).</w:t>
      </w:r>
    </w:p>
    <w:p w:rsidR="008D4727" w:rsidRPr="008D4727" w:rsidRDefault="008D4727" w:rsidP="008D4727">
      <w:pPr>
        <w:numPr>
          <w:ilvl w:val="1"/>
          <w:numId w:val="1"/>
        </w:numPr>
        <w:tabs>
          <w:tab w:val="num" w:pos="785"/>
        </w:tabs>
        <w:spacing w:after="120" w:line="360" w:lineRule="auto"/>
        <w:ind w:left="785"/>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התובעת, בעלת תעודת הוראה, עבדה בשירות הנתבעת, באולפנה, החל משנת 1992 ועד לפיטוריה בשנת 2011; בסך-הכל כ-18.5 שנים.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בעת פיטוריה הייתה התובעת בת 58 שנים, ושכרה בשנת עבודתה האחרונה עמד על סך של 6,969 ₪.</w:t>
      </w:r>
    </w:p>
    <w:p w:rsidR="008D4727" w:rsidRPr="008D4727" w:rsidRDefault="008D4727" w:rsidP="008D4727">
      <w:pPr>
        <w:numPr>
          <w:ilvl w:val="1"/>
          <w:numId w:val="1"/>
        </w:numPr>
        <w:tabs>
          <w:tab w:val="num" w:pos="785"/>
        </w:tabs>
        <w:spacing w:after="120" w:line="360" w:lineRule="auto"/>
        <w:ind w:left="785"/>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בחלק הארי של תקופת עבודתה שימשה התובעת אם הבית של האולפנה. שנתיים טרם פיטוריה, מונתה התובעת גם לתפקיד מדריכה לבנות בכיתות י"א-י"ב בפנימייה, </w:t>
      </w:r>
      <w:r w:rsidRPr="008D4727">
        <w:rPr>
          <w:rFonts w:ascii="Times New Roman" w:eastAsia="Times New Roman" w:hAnsi="Times New Roman" w:cs="David" w:hint="cs"/>
          <w:noProof/>
          <w:sz w:val="28"/>
          <w:szCs w:val="28"/>
          <w:rtl/>
        </w:rPr>
        <w:t>תפקיד בגדרו</w:t>
      </w:r>
      <w:r w:rsidRPr="008D4727">
        <w:rPr>
          <w:rFonts w:ascii="Times New Roman" w:eastAsia="Times New Roman" w:hAnsi="Times New Roman" w:cs="David"/>
          <w:noProof/>
          <w:sz w:val="28"/>
          <w:szCs w:val="28"/>
          <w:rtl/>
        </w:rPr>
        <w:t xml:space="preserve"> נדרשה להכין את התלמידות לשירות לאומי. </w:t>
      </w:r>
    </w:p>
    <w:p w:rsidR="008D4727" w:rsidRPr="008D4727" w:rsidRDefault="008D4727" w:rsidP="008D4727">
      <w:pPr>
        <w:spacing w:after="120" w:line="360" w:lineRule="auto"/>
        <w:ind w:left="785"/>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בשנה האחרונה לעבודת התובעת, מונתה כאם בית, לצד התובעת, עובדת נוספת, היא הגב' דגנית מלכה.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במהלך תקופת עבודתה הוענקה לתובעת זכות שימוש בדירת שירות שממוקמת במתחם הפנימייה (להלן: </w:t>
      </w:r>
      <w:r w:rsidRPr="008D4727">
        <w:rPr>
          <w:rFonts w:ascii="Times New Roman" w:eastAsia="Times New Roman" w:hAnsi="Times New Roman" w:cs="David"/>
          <w:b/>
          <w:bCs/>
          <w:noProof/>
          <w:sz w:val="28"/>
          <w:szCs w:val="28"/>
          <w:rtl/>
        </w:rPr>
        <w:t>"דירת השירות"</w:t>
      </w:r>
      <w:r w:rsidRPr="008D4727">
        <w:rPr>
          <w:rFonts w:ascii="Times New Roman" w:eastAsia="Times New Roman" w:hAnsi="Times New Roman" w:cs="David"/>
          <w:noProof/>
          <w:sz w:val="28"/>
          <w:szCs w:val="28"/>
          <w:rtl/>
        </w:rPr>
        <w:t>), והתובעת התגוררה בה ביחד עם בני משפחתה.</w:t>
      </w:r>
    </w:p>
    <w:p w:rsidR="008D4727" w:rsidRPr="008D4727" w:rsidRDefault="008D4727" w:rsidP="008D4727">
      <w:pPr>
        <w:numPr>
          <w:ilvl w:val="1"/>
          <w:numId w:val="1"/>
        </w:numPr>
        <w:tabs>
          <w:tab w:val="num" w:pos="785"/>
        </w:tabs>
        <w:spacing w:after="120" w:line="360" w:lineRule="auto"/>
        <w:ind w:left="785"/>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אין חולק כי במהלך כל תקופת עבודתה, מילאה התובעת את תפקידה במסירות, ובמקצועיות, והנתבעת – כמו גם צוות העובדים והחניכות -  היו שבעי רצון מתפקודה.</w:t>
      </w:r>
    </w:p>
    <w:p w:rsidR="008D4727" w:rsidRPr="008D4727" w:rsidRDefault="008D4727" w:rsidP="008D4727">
      <w:pPr>
        <w:numPr>
          <w:ilvl w:val="1"/>
          <w:numId w:val="1"/>
        </w:numPr>
        <w:tabs>
          <w:tab w:val="num" w:pos="785"/>
        </w:tabs>
        <w:spacing w:after="120" w:line="360" w:lineRule="auto"/>
        <w:ind w:left="785"/>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בשנת הלימודים תשע"א, בשל  מגמת ירידה בשיעור ההרשמה לאולפנה, שהתגברה משנה לשנה, שקלה הנתבעת לסגור את האולפנה, והודיעה על כוונתה זו לעובדים או לחלקם כבר בחודש מאי 2011. בסופו של דבר, אכן נסגרה האולפנה באותה השנה.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lastRenderedPageBreak/>
        <w:t>בסמוך לסגירת האולפנה, ובאותו המבנה, פתחה הנתבעת, החל משנת הלימודים תשע"ב, פנימייה חדשה, שכונתה "מרחביה".  תלמידות האולפנה שנסגרה נקלטו במוסד אחר אשר אינו קשור לנתבעת</w:t>
      </w:r>
      <w:r w:rsidRPr="008D4727">
        <w:rPr>
          <w:rFonts w:ascii="Times New Roman" w:eastAsia="Times New Roman" w:hAnsi="Times New Roman" w:cs="David" w:hint="cs"/>
          <w:noProof/>
          <w:sz w:val="28"/>
          <w:szCs w:val="28"/>
          <w:rtl/>
        </w:rPr>
        <w:t>. אשר ל</w:t>
      </w:r>
      <w:r w:rsidRPr="008D4727">
        <w:rPr>
          <w:rFonts w:ascii="Times New Roman" w:eastAsia="Times New Roman" w:hAnsi="Times New Roman" w:cs="David"/>
          <w:noProof/>
          <w:sz w:val="28"/>
          <w:szCs w:val="28"/>
          <w:rtl/>
        </w:rPr>
        <w:t>עובדות האולפנה שפוטרו</w:t>
      </w:r>
      <w:r w:rsidRPr="008D4727">
        <w:rPr>
          <w:rFonts w:ascii="Times New Roman" w:eastAsia="Times New Roman" w:hAnsi="Times New Roman" w:cs="David" w:hint="cs"/>
          <w:noProof/>
          <w:sz w:val="28"/>
          <w:szCs w:val="28"/>
          <w:rtl/>
        </w:rPr>
        <w:t xml:space="preserve"> </w:t>
      </w:r>
      <w:r w:rsidRPr="008D4727">
        <w:rPr>
          <w:rFonts w:ascii="Times New Roman" w:eastAsia="Times New Roman" w:hAnsi="Times New Roman" w:cs="David"/>
          <w:noProof/>
          <w:sz w:val="28"/>
          <w:szCs w:val="28"/>
          <w:rtl/>
        </w:rPr>
        <w:t>–</w:t>
      </w:r>
      <w:r w:rsidRPr="008D4727">
        <w:rPr>
          <w:rFonts w:ascii="Times New Roman" w:eastAsia="Times New Roman" w:hAnsi="Times New Roman" w:cs="David" w:hint="cs"/>
          <w:noProof/>
          <w:sz w:val="28"/>
          <w:szCs w:val="28"/>
          <w:rtl/>
        </w:rPr>
        <w:t xml:space="preserve"> רק בודדות בלבד מביניהן </w:t>
      </w:r>
      <w:r w:rsidRPr="008D4727">
        <w:rPr>
          <w:rFonts w:ascii="Times New Roman" w:eastAsia="Times New Roman" w:hAnsi="Times New Roman" w:cs="David"/>
          <w:noProof/>
          <w:sz w:val="28"/>
          <w:szCs w:val="28"/>
          <w:rtl/>
        </w:rPr>
        <w:t>נקלטו במרחביה</w:t>
      </w:r>
      <w:r w:rsidRPr="008D4727">
        <w:rPr>
          <w:rFonts w:ascii="Times New Roman" w:eastAsia="Times New Roman" w:hAnsi="Times New Roman" w:cs="David" w:hint="cs"/>
          <w:noProof/>
          <w:sz w:val="28"/>
          <w:szCs w:val="28"/>
          <w:rtl/>
        </w:rPr>
        <w:t>.</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hint="cs"/>
          <w:noProof/>
          <w:sz w:val="28"/>
          <w:szCs w:val="28"/>
          <w:rtl/>
        </w:rPr>
        <w:br/>
      </w:r>
      <w:r w:rsidRPr="008D4727">
        <w:rPr>
          <w:rFonts w:ascii="Times New Roman" w:eastAsia="Times New Roman" w:hAnsi="Times New Roman" w:cs="David"/>
          <w:noProof/>
          <w:sz w:val="28"/>
          <w:szCs w:val="28"/>
          <w:rtl/>
        </w:rPr>
        <w:t>בתאריך 28.08.11, פנתה מזכירת מנכ"ל הנתבעת אל התובעת והודיעה לה כי יש עבורה מכתב פיטורים במגירת המנכ"ל, וכי על התובעת להגיע למשרד כדי לקבלו, אולם התובעת סירבה לעשות כן.</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במהלך חודש ספטמבר 2011 – לטענת התובעת ביום 12.09.11 -  קיבלה התובעת מכתב פיטורים, נושא תאריך 01.08.11. במכתב הפיטורים נכתב כי הנתבעת החליטה על הפסקת עבודת התובעת, זאת החל מיום 01.09.11. </w:t>
      </w:r>
    </w:p>
    <w:p w:rsidR="008D4727" w:rsidRPr="008D4727" w:rsidRDefault="008D4727" w:rsidP="008D4727">
      <w:pPr>
        <w:numPr>
          <w:ilvl w:val="1"/>
          <w:numId w:val="1"/>
        </w:numPr>
        <w:tabs>
          <w:tab w:val="num" w:pos="785"/>
        </w:tabs>
        <w:spacing w:after="120" w:line="360" w:lineRule="auto"/>
        <w:ind w:left="785"/>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יצוין כי  במהלך חודש אוגוסט וספטמבר 2011 נעשו ניסיונות מסוימים לשלב את התובעת בעבודות אחרות - אולם ניסיונות אלו לא צלחו. בין היתר, הציעה הנתבעת לתובעת לעבוד אצלה כמטפלת במעון, בשכר של 2,600 ש"ח לחודש, אולם התובעת סירבה.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ביום 08.12.11 פנתה התובעת לנתבעת, באמצעות באת-כוחה, וטענה כי פוטרה שלא כדין, מחמת גילה ובהיעדר שימוע, ומבלי ששולמו לה מלוא זכויותיה בזיקה לסיום עבודתה.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במכתב מיום 22.01.12 דחתה הנתבעת, אף היא באמצעות באי כוחה, את חלק הארי של טענות התובעת, וטענה כי התובעת פוטרה כדין ומטעמים ענייניים. אשר לזכויות התובעת בזיקה לסיום עבודתה, התחייבה הנתבעת כי אלו ישולמו בהקדם.</w:t>
      </w:r>
    </w:p>
    <w:p w:rsidR="008D4727" w:rsidRPr="008D4727" w:rsidRDefault="008D4727" w:rsidP="008D4727">
      <w:pPr>
        <w:numPr>
          <w:ilvl w:val="1"/>
          <w:numId w:val="1"/>
        </w:numPr>
        <w:spacing w:after="120" w:line="360" w:lineRule="auto"/>
        <w:jc w:val="both"/>
        <w:rPr>
          <w:rFonts w:ascii="Times New Roman" w:eastAsia="Times New Roman" w:hAnsi="Times New Roman" w:cs="David"/>
          <w:b/>
          <w:bCs/>
          <w:noProof/>
          <w:sz w:val="26"/>
          <w:szCs w:val="26"/>
        </w:rPr>
      </w:pPr>
      <w:r w:rsidRPr="008D4727">
        <w:rPr>
          <w:rFonts w:ascii="Times New Roman" w:eastAsia="Times New Roman" w:hAnsi="Times New Roman" w:cs="David"/>
          <w:noProof/>
          <w:sz w:val="28"/>
          <w:szCs w:val="28"/>
          <w:rtl/>
        </w:rPr>
        <w:t xml:space="preserve">לאחר הגשת תובענה </w:t>
      </w:r>
      <w:r w:rsidRPr="008D4727">
        <w:rPr>
          <w:rFonts w:ascii="Times New Roman" w:eastAsia="Times New Roman" w:hAnsi="Times New Roman" w:cs="David" w:hint="cs"/>
          <w:noProof/>
          <w:sz w:val="28"/>
          <w:szCs w:val="28"/>
          <w:rtl/>
        </w:rPr>
        <w:t>זו</w:t>
      </w:r>
      <w:r w:rsidRPr="008D4727">
        <w:rPr>
          <w:rFonts w:ascii="Times New Roman" w:eastAsia="Times New Roman" w:hAnsi="Times New Roman" w:cs="David"/>
          <w:noProof/>
          <w:sz w:val="28"/>
          <w:szCs w:val="28"/>
          <w:rtl/>
        </w:rPr>
        <w:t xml:space="preserve">, פנתה הנתבעת לתובעת, בזו הלשון: </w:t>
      </w:r>
      <w:r w:rsidRPr="008D4727">
        <w:rPr>
          <w:rFonts w:ascii="Times New Roman" w:eastAsia="Times New Roman" w:hAnsi="Times New Roman" w:cs="David"/>
          <w:b/>
          <w:bCs/>
          <w:noProof/>
          <w:sz w:val="26"/>
          <w:szCs w:val="26"/>
          <w:rtl/>
        </w:rPr>
        <w:t>"בימים האחרונים הגיעה למשרדנו תביעה מבית דין לערכאות הדן בעניניך. נדהמנו לגלות שתביעתך הינה באמצעות ערכאות המשפט הישראלי בזמן שברור שהדבר אסור מבחינה הלכתית. אנו פונים אליך בבקשה להואיל ולהגיש תביעה מחודשת בבית הדין הרבני הדן בדין תורה.".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במהלך חודש אוגוסט 2012, נשלחו לתובעת המחאות, </w:t>
      </w:r>
      <w:r w:rsidRPr="008D4727">
        <w:rPr>
          <w:rFonts w:ascii="Times New Roman" w:eastAsia="Times New Roman" w:hAnsi="Times New Roman" w:cs="David" w:hint="cs"/>
          <w:noProof/>
          <w:sz w:val="28"/>
          <w:szCs w:val="28"/>
          <w:rtl/>
        </w:rPr>
        <w:t>בגין</w:t>
      </w:r>
      <w:r w:rsidRPr="008D4727">
        <w:rPr>
          <w:rFonts w:ascii="Times New Roman" w:eastAsia="Times New Roman" w:hAnsi="Times New Roman" w:cs="David"/>
          <w:noProof/>
          <w:sz w:val="28"/>
          <w:szCs w:val="28"/>
          <w:rtl/>
        </w:rPr>
        <w:t xml:space="preserve"> פיצויי הפיטורים שנצברו לזכותה בחברת הביטוח מגדל.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עוד יצוין, כי לאחר הדיון המוקדם בתובענה, הציעה הנתבעת לתובעת לחזור לעבודה כאם בית, בשכר חודשי של 4,660 ש"ח. התובעת סירבה להצעה. לטענתה, נוכח ההרעה בשכר, ומפאת כך שהיה לה קשה לחזור למקום, מבחינה נפשית.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 xml:space="preserve">נפרט להלן את תמצית טענותיה העיקריות של התובעת –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התובעת טענה כי היא פוטרה שלא כדין, ובחוסר תום-לב, שכן לשיטתה: </w:t>
      </w:r>
    </w:p>
    <w:p w:rsidR="008D4727" w:rsidRPr="008D4727" w:rsidRDefault="008D4727" w:rsidP="008D4727">
      <w:pPr>
        <w:numPr>
          <w:ilvl w:val="2"/>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היא פוטרה ללא סיבה עניינית, אלא מחמת גילה, בניגוד להוראות </w:t>
      </w:r>
      <w:hyperlink r:id="rId15" w:history="1">
        <w:r w:rsidRPr="008D4727">
          <w:rPr>
            <w:rFonts w:ascii="Times New Roman" w:eastAsia="Times New Roman" w:hAnsi="Times New Roman" w:cs="David"/>
            <w:noProof/>
            <w:color w:val="0000FF"/>
            <w:sz w:val="28"/>
            <w:szCs w:val="28"/>
            <w:u w:val="single"/>
            <w:rtl/>
          </w:rPr>
          <w:t>סעיף 2(א)</w:t>
        </w:r>
      </w:hyperlink>
      <w:r w:rsidRPr="008D4727">
        <w:rPr>
          <w:rFonts w:ascii="Times New Roman" w:eastAsia="Times New Roman" w:hAnsi="Times New Roman" w:cs="David"/>
          <w:noProof/>
          <w:sz w:val="28"/>
          <w:szCs w:val="28"/>
          <w:rtl/>
        </w:rPr>
        <w:t xml:space="preserve"> ל</w:t>
      </w:r>
      <w:hyperlink r:id="rId16" w:history="1">
        <w:r w:rsidRPr="008D4727">
          <w:rPr>
            <w:rFonts w:ascii="Times New Roman" w:eastAsia="Times New Roman" w:hAnsi="Times New Roman" w:cs="David"/>
            <w:noProof/>
            <w:color w:val="0000FF"/>
            <w:sz w:val="28"/>
            <w:szCs w:val="28"/>
            <w:u w:val="single"/>
            <w:rtl/>
          </w:rPr>
          <w:t>חוק שוויון הזדמנויות בעבודה</w:t>
        </w:r>
      </w:hyperlink>
      <w:r w:rsidRPr="008D4727">
        <w:rPr>
          <w:rFonts w:ascii="Times New Roman" w:eastAsia="Times New Roman" w:hAnsi="Times New Roman" w:cs="David"/>
          <w:noProof/>
          <w:sz w:val="28"/>
          <w:szCs w:val="28"/>
          <w:rtl/>
        </w:rPr>
        <w:t xml:space="preserve">, תשמ"ח-1988 (להלן: </w:t>
      </w:r>
      <w:r w:rsidRPr="008D4727">
        <w:rPr>
          <w:rFonts w:ascii="Times New Roman" w:eastAsia="Times New Roman" w:hAnsi="Times New Roman" w:cs="David"/>
          <w:b/>
          <w:bCs/>
          <w:noProof/>
          <w:sz w:val="28"/>
          <w:szCs w:val="28"/>
          <w:rtl/>
        </w:rPr>
        <w:t>"חוק שוויון הזדמנויות"</w:t>
      </w:r>
      <w:r w:rsidRPr="008D4727">
        <w:rPr>
          <w:rFonts w:ascii="Times New Roman" w:eastAsia="Times New Roman" w:hAnsi="Times New Roman" w:cs="David"/>
          <w:noProof/>
          <w:sz w:val="28"/>
          <w:szCs w:val="28"/>
          <w:rtl/>
        </w:rPr>
        <w:t>).</w:t>
      </w:r>
    </w:p>
    <w:p w:rsidR="008D4727" w:rsidRPr="008D4727" w:rsidRDefault="008D4727" w:rsidP="008D4727">
      <w:pPr>
        <w:spacing w:after="120" w:line="360" w:lineRule="auto"/>
        <w:ind w:left="1068"/>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על יסוד טענה זו, עתרה התובעת לסעדים הבאים:</w:t>
      </w:r>
    </w:p>
    <w:p w:rsidR="008D4727" w:rsidRPr="008D4727" w:rsidRDefault="008D4727" w:rsidP="008D4727">
      <w:pPr>
        <w:spacing w:after="120" w:line="360" w:lineRule="auto"/>
        <w:ind w:left="1068"/>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פיצוי בגין אובדן השתכרות עבור 4 שנים עד הגיעה לגיל פרישה, בסך של 200,000 ₪ (לשיטת התובעת גובה הנזק עומד על  418,128 ₪, אולם מטעמי אגרה הופחת סכום הפיצוי שנתבע).</w:t>
      </w:r>
    </w:p>
    <w:p w:rsidR="008D4727" w:rsidRPr="008D4727" w:rsidRDefault="008D4727" w:rsidP="008D4727">
      <w:pPr>
        <w:spacing w:after="120" w:line="360" w:lineRule="auto"/>
        <w:ind w:left="348" w:firstLine="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פיצוי ללא הוכחת נזק, בשל הפלייתה, בסך של 50,000 ₪.</w:t>
      </w:r>
    </w:p>
    <w:p w:rsidR="008D4727" w:rsidRPr="008D4727" w:rsidRDefault="008D4727" w:rsidP="008D4727">
      <w:pPr>
        <w:numPr>
          <w:ilvl w:val="2"/>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הנתבעת הפרה את זכותה לשימוע, עובר לפיטוריה. </w:t>
      </w:r>
    </w:p>
    <w:p w:rsidR="008D4727" w:rsidRPr="008D4727" w:rsidRDefault="008D4727" w:rsidP="008D4727">
      <w:pPr>
        <w:spacing w:after="120" w:line="360" w:lineRule="auto"/>
        <w:ind w:left="1068"/>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נוכח טענה זו, עתרה התובעת לפיצוי בגובה 12 משכורות בסך 104,532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התובעת טענה כי היה על הנתבעת להודיע לה על פיטוריה לא יאוחר מיום 31.05.11, כפי שמתחייב לגבי פיטורי עובדי הוראה ולגבי עובדים ב"מוסדות הקשורים לשנת לימודים". אלא, שהודע לה על פיטוריה רק ביום 12.09.11, שאז פוטרה לאלתר. משכך, עתרה התובעת לפיצוי בגובה שכר של שנה, בסך של 106,145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התובעת טענה כי בשל האיחור הכבד בתשלום חלק מפיצויי הפיטורים, על הנתבעת לשלם לה פיצויי הלנת פיצויי פיטורים בסך של 224,561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כמו כן, טענה התובעת כי היא זכאית להפרשי פיצויי פיטורים בסך של 10,571 ₪, בתוספת פיצויי הלנת פיצויי פיטורים בסך של 21,559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 xml:space="preserve">לבסוף, טענה התובעת כי על הנתבעת לשלם לה שכר בסך 4,000 ₪, בתוספת הפרשי ריבית והצמדה בסך 200 ₪, בעד עבודתה כאחראית על קייטנה לבנות האולפנה, שהתקיימה בקיץ שנת תש"ע.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 xml:space="preserve">בהקשר זה יוער כי </w:t>
      </w:r>
      <w:r w:rsidRPr="008D4727">
        <w:rPr>
          <w:rFonts w:ascii="Times New Roman" w:eastAsia="Times New Roman" w:hAnsi="Times New Roman" w:cs="David"/>
          <w:noProof/>
          <w:sz w:val="28"/>
          <w:szCs w:val="28"/>
          <w:rtl/>
        </w:rPr>
        <w:t>בכתב ההגנה ציינה הנתבעת, כי היא תפעל, בד בבד להגשת כתב ההגנה, לשלם לתובעת את הסכום הנתבע על ידה, בגין שכר עבודתה בקייטנה.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מתצהירה של התובעת עולה כי הנתבעת שילמה לה סך של 4,000 ₪ כאמור, אולם זאת רק ביום 27.02.13.</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בסך-הכל הועמדה התביעה על סך של 721,568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 xml:space="preserve">ואלה הן טענותיה העיקריות של הנתבעת בתמצית -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הנתבעת טענה כי פיטורי התובעת נעשו כדין ובתום לב, מטעמים ענייניים, בשל סגירת האולפנה; לאחר שקויים לעובדי האולפנה – לרבות לתובעת -  הליך שימוע קולקטיבי, שהותאם לנסיבות.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על כן, אין התובעת זכאית לפיצוי כלשהו בגין פיטורים שלא כדין.</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במישור הנזק, טענה הנתבעת כי התובעת לא הוכיחה את נזקיה, וניכר שלא פעלה להקטין את נזקיה הנטענים.</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הנתבעת טענה כי התובעת לא הייתה עובדת הוראה, ולכן היא זכאית להודעה מוקדמת כשל עובד "רגיל", ולא עד יום 31.05.11 כנטען על ידה. לפיכך, ניתנה לתובעת הודעה מוקדמת כדין.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הנתבעת הוסיפה וטענה כי התובעת התחמקה מלקבל את מכתב פיטוריה שהוצא כבר ביום 01.08.11, ואף מסיבה זו יש לדחות את טענתה בדבר הפרת זכותה להודעה מוקדמת.</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הנתבעת טענה כי  במהלך השנים נצברו לזכות התובעת, בחברת הביטוח מגדל, פיצויי פיטורים בסך 118,355 ₪, והתובעת אינה זכאית לסכום נוסף כפיצויי  פיטורים.</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הנתבעת טענה כי היא פעלה והקדישה מאמצים במטרה לשחרר עבור התובעת את פיצויי הפיטורים הצבורים, אולם שחרורם התעכב בשל חוסר שיתוף פעולה מוחלט מצד התובעת. משכך, אין התובעת זכאית לפיצויי </w:t>
      </w:r>
      <w:r w:rsidRPr="008D4727">
        <w:rPr>
          <w:rFonts w:ascii="Times New Roman" w:eastAsia="Times New Roman" w:hAnsi="Times New Roman" w:cs="David"/>
          <w:noProof/>
          <w:sz w:val="28"/>
          <w:szCs w:val="28"/>
          <w:rtl/>
        </w:rPr>
        <w:lastRenderedPageBreak/>
        <w:t>הלנת פיצויי פיטורים. לחילופין, טענה הנתבעת כי אם יימצא כי עליה לשלם פיצויי הלנת פיצויי פיטורים, כי אז לאור תום ליבה, יש להפחיתם לכדי הפרשי ריבית והצמדה בלבד.</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לבסוף, העלתה התובעת טענת קיזוז. לטענתה, חרף פיטוריה ולאחריהם, ועד יום 01.08.12, סירבה התובעת לפנות את דירת השירות, שבה לשיטת הנתבעת התגורר בנה של התובעת.  כל זאת, חרף דרישות חוזרות ונשנות מצד הנתבעת לפנותה. על רקע זה, טוענת הנתבעת כי נגרם לה נזק בסך של 14,300 ₪, שאותו היא עותרת לקזז מכל סכום שייפסק לתובעת.</w:t>
      </w:r>
    </w:p>
    <w:p w:rsidR="008D4727" w:rsidRPr="008D4727" w:rsidRDefault="008D4727" w:rsidP="008D4727">
      <w:pPr>
        <w:spacing w:after="120" w:line="360" w:lineRule="auto"/>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 xml:space="preserve">הפלוגתאות העיקריות אשר טעונות הכרעה בענייננו –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האם פיטורי התובעת נעשו כדין? </w:t>
      </w:r>
    </w:p>
    <w:p w:rsidR="008D4727" w:rsidRPr="008D4727" w:rsidRDefault="008D4727" w:rsidP="008D4727">
      <w:pPr>
        <w:numPr>
          <w:ilvl w:val="2"/>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האם פיטורי התובעת נגועים בהפליה מחמת גילה?</w:t>
      </w:r>
    </w:p>
    <w:p w:rsidR="008D4727" w:rsidRPr="008D4727" w:rsidRDefault="008D4727" w:rsidP="008D4727">
      <w:pPr>
        <w:numPr>
          <w:ilvl w:val="2"/>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האם הופרה זכות התובעת לשימוע?</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ככל שיימצאו פגמים בפיטורים, מהם הסעדים להם זכאית התובעת בגינם?</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האם התובעת זכאית לתמורת הודעה מוקדמת, כטענתה?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האם התובעת זכאית להפרשי פיצויי פיטורים?</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האם התובעת זכאית לפיצויי הלנת פיצויי פיטורים?</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האם התובעת זכאית לסכום כלשהו, בזיקה לעבודתה בקייטנה בקיץ תש"ע?</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ככל שהנתבעת תחויב בסכום כלשהו – נבחן את טענת הקיזוז שהעלתה.</w:t>
      </w:r>
      <w:r w:rsidRPr="008D4727">
        <w:rPr>
          <w:rFonts w:ascii="Times New Roman" w:eastAsia="Times New Roman" w:hAnsi="Times New Roman" w:cs="David" w:hint="cs"/>
          <w:noProof/>
          <w:sz w:val="28"/>
          <w:szCs w:val="28"/>
          <w:rtl/>
        </w:rPr>
        <w:br/>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b/>
          <w:bCs/>
          <w:noProof/>
          <w:sz w:val="28"/>
          <w:szCs w:val="28"/>
          <w:rtl/>
        </w:rPr>
        <w:t xml:space="preserve">מסכת הראיות </w:t>
      </w:r>
      <w:r w:rsidRPr="008D4727">
        <w:rPr>
          <w:rFonts w:ascii="Times New Roman" w:eastAsia="Times New Roman" w:hAnsi="Times New Roman" w:cs="David"/>
          <w:noProof/>
          <w:sz w:val="28"/>
          <w:szCs w:val="28"/>
          <w:rtl/>
        </w:rPr>
        <w:t>– מחד, שמענו את עדותה של התובעת. מאידך, מטעם ההגנה, העידו בפנינו מר חיים ביטון, ומר מרדכי (מוטי) הייזלר, מי ששימשו, בזמנים הרלבנטיים לתביעה, מנכ"ל וסמנכ"ל הנתבעת, בהתאמה. הצדדים צירפו לתצהיריהם שורה של מסמכים.</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נציין כבר עתה כי בחקירתו הנגדית של מר הייזלר התגלתה תמונה בעייתית ביותר, אשר לתצהירו; באשר הלה העיד כי בנוגע למרבית הסעיפים הכלולים בתצהירו אין בידיו להעיד מידיעה אישית, והם בגדר עדות שמיעה. עובדה זו, </w:t>
      </w:r>
      <w:r w:rsidRPr="008D4727">
        <w:rPr>
          <w:rFonts w:ascii="Times New Roman" w:eastAsia="Times New Roman" w:hAnsi="Times New Roman" w:cs="David"/>
          <w:noProof/>
          <w:sz w:val="28"/>
          <w:szCs w:val="28"/>
          <w:rtl/>
        </w:rPr>
        <w:lastRenderedPageBreak/>
        <w:t>ללא ספק יש בה כדי לפגוע במידה ניכרת במשקל עדותו, בין בכלל ובוודאי אשר לסעיפים עליהם העיד מפי השמועה.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עוד נציין כי על פי הצהרות ב"כ הנתבעת, מר ביטון סירב ליתן עדותו בתצהיר. על כן, נעתר בית הדין לבקשת הנתבעת, וזימן את מר ביטון לעדות. בפתח חקירתו הנגדית, נשאל מר ביטון, שהעיד כי הוא משפטן בהשכלתו, על אודות סירובו, וזה השיב, בין היתר, כי יש לו "חובות אחרים", ולמעשה לא סיפק הצדק מניח את הדעת לסירובו.</w:t>
      </w:r>
    </w:p>
    <w:p w:rsidR="008D4727" w:rsidRPr="008D4727" w:rsidRDefault="008D4727" w:rsidP="008D4727">
      <w:pPr>
        <w:spacing w:after="120" w:line="360" w:lineRule="auto"/>
        <w:jc w:val="center"/>
        <w:rPr>
          <w:rFonts w:ascii="Times New Roman" w:eastAsia="Times New Roman" w:hAnsi="Times New Roman" w:cs="David"/>
          <w:b/>
          <w:bCs/>
          <w:noProof/>
          <w:sz w:val="28"/>
          <w:szCs w:val="28"/>
          <w:u w:val="single"/>
          <w:rtl/>
        </w:rPr>
      </w:pPr>
      <w:r w:rsidRPr="008D4727">
        <w:rPr>
          <w:rFonts w:ascii="Times New Roman" w:eastAsia="Times New Roman" w:hAnsi="Times New Roman" w:cs="David"/>
          <w:b/>
          <w:bCs/>
          <w:noProof/>
          <w:sz w:val="28"/>
          <w:szCs w:val="28"/>
          <w:u w:val="single"/>
          <w:rtl/>
        </w:rPr>
        <w:t>דיון והכרעה</w:t>
      </w:r>
    </w:p>
    <w:p w:rsidR="008D4727" w:rsidRPr="008D4727" w:rsidRDefault="008D4727" w:rsidP="008D4727">
      <w:pPr>
        <w:spacing w:after="120" w:line="360" w:lineRule="auto"/>
        <w:jc w:val="center"/>
        <w:rPr>
          <w:rFonts w:ascii="Times New Roman" w:eastAsia="Times New Roman" w:hAnsi="Times New Roman" w:cs="David"/>
          <w:b/>
          <w:bCs/>
          <w:noProof/>
          <w:sz w:val="28"/>
          <w:szCs w:val="28"/>
          <w:u w:val="single"/>
          <w:rtl/>
        </w:rPr>
      </w:pPr>
    </w:p>
    <w:p w:rsidR="008D4727" w:rsidRPr="008D4727" w:rsidRDefault="008D4727" w:rsidP="008D4727">
      <w:pPr>
        <w:spacing w:after="120" w:line="360" w:lineRule="auto"/>
        <w:rPr>
          <w:rFonts w:ascii="Times New Roman" w:eastAsia="Times New Roman" w:hAnsi="Times New Roman" w:cs="David"/>
          <w:b/>
          <w:bCs/>
          <w:noProof/>
          <w:sz w:val="28"/>
          <w:szCs w:val="28"/>
          <w:u w:val="single"/>
          <w:rtl/>
        </w:rPr>
      </w:pPr>
      <w:r w:rsidRPr="008D4727">
        <w:rPr>
          <w:rFonts w:ascii="Times New Roman" w:eastAsia="Times New Roman" w:hAnsi="Times New Roman" w:cs="David"/>
          <w:b/>
          <w:bCs/>
          <w:noProof/>
          <w:sz w:val="28"/>
          <w:szCs w:val="28"/>
          <w:u w:val="single"/>
          <w:rtl/>
        </w:rPr>
        <w:t>האם התובעת הופלתה מחמת גילה?</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כאמור, התובעת טוענת כי פיטוריה נעשו ללא סיבה עניינית נראית לעין, ושבעצם היא פוטרה מחמת גילה; ואילו הנתבעת טוענת כי התובעת פוטרה מטעמים ענייניים, נוכח סגירת האולפנה.</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השאלה העומדת לדיון היא, אם כן, זו: האם בהחליטה לפטר את התובעת, שקלה הנתבעת את דבר גילה של התובעת?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וזה יהא הילוך דיוננו: ראשית, נרחיב את היריעה אשר לנסיבות פיטורי התובעת. שנית, נבחן האם יש מקום להעברת נטל ההוכחה על כתפי הנתבעת, מכוח </w:t>
      </w:r>
      <w:hyperlink r:id="rId17" w:history="1">
        <w:r w:rsidRPr="008D4727">
          <w:rPr>
            <w:rFonts w:ascii="Times New Roman" w:eastAsia="Times New Roman" w:hAnsi="Times New Roman" w:cs="David"/>
            <w:noProof/>
            <w:color w:val="0000FF"/>
            <w:sz w:val="28"/>
            <w:szCs w:val="28"/>
            <w:u w:val="single"/>
            <w:rtl/>
          </w:rPr>
          <w:t>סעיף 9</w:t>
        </w:r>
      </w:hyperlink>
      <w:r w:rsidRPr="008D4727">
        <w:rPr>
          <w:rFonts w:ascii="Times New Roman" w:eastAsia="Times New Roman" w:hAnsi="Times New Roman" w:cs="David"/>
          <w:noProof/>
          <w:sz w:val="28"/>
          <w:szCs w:val="28"/>
          <w:rtl/>
        </w:rPr>
        <w:t xml:space="preserve"> לחוק שוויון הזדמנויות. ככל שנשיב על שאלה זו בחיוב, נבחן האם הנתבעת הרימה את הנטל להוכיח שלא פעלה בניגוד </w:t>
      </w:r>
      <w:hyperlink r:id="rId18" w:history="1">
        <w:r w:rsidRPr="008D4727">
          <w:rPr>
            <w:rFonts w:ascii="Times New Roman" w:eastAsia="Times New Roman" w:hAnsi="Times New Roman" w:cs="David"/>
            <w:noProof/>
            <w:color w:val="0000FF"/>
            <w:sz w:val="28"/>
            <w:szCs w:val="28"/>
            <w:u w:val="single"/>
            <w:rtl/>
          </w:rPr>
          <w:t>לסעיף 2</w:t>
        </w:r>
      </w:hyperlink>
      <w:r w:rsidRPr="008D4727">
        <w:rPr>
          <w:rFonts w:ascii="Times New Roman" w:eastAsia="Times New Roman" w:hAnsi="Times New Roman" w:cs="David"/>
          <w:noProof/>
          <w:sz w:val="28"/>
          <w:szCs w:val="28"/>
          <w:rtl/>
        </w:rPr>
        <w:t xml:space="preserve"> לחוק.</w:t>
      </w:r>
    </w:p>
    <w:p w:rsidR="008D4727" w:rsidRPr="008D4727" w:rsidRDefault="008D4727" w:rsidP="008D4727">
      <w:pPr>
        <w:spacing w:after="120" w:line="360" w:lineRule="auto"/>
        <w:ind w:left="360"/>
        <w:jc w:val="both"/>
        <w:rPr>
          <w:rFonts w:ascii="Times New Roman" w:eastAsia="Times New Roman" w:hAnsi="Times New Roman" w:cs="David"/>
          <w:b/>
          <w:bCs/>
          <w:noProof/>
          <w:sz w:val="28"/>
          <w:szCs w:val="28"/>
          <w:rtl/>
        </w:rPr>
      </w:pPr>
    </w:p>
    <w:p w:rsidR="008D4727" w:rsidRPr="008D4727" w:rsidRDefault="008D4727" w:rsidP="008D4727">
      <w:pPr>
        <w:spacing w:after="120" w:line="360" w:lineRule="auto"/>
        <w:ind w:left="360"/>
        <w:jc w:val="both"/>
        <w:rPr>
          <w:rFonts w:ascii="Times New Roman" w:eastAsia="Times New Roman" w:hAnsi="Times New Roman" w:cs="David"/>
          <w:b/>
          <w:bCs/>
          <w:noProof/>
          <w:sz w:val="28"/>
          <w:szCs w:val="28"/>
          <w:rtl/>
        </w:rPr>
      </w:pPr>
      <w:r w:rsidRPr="008D4727">
        <w:rPr>
          <w:rFonts w:ascii="Times New Roman" w:eastAsia="Times New Roman" w:hAnsi="Times New Roman" w:cs="David"/>
          <w:b/>
          <w:bCs/>
          <w:noProof/>
          <w:sz w:val="28"/>
          <w:szCs w:val="28"/>
          <w:rtl/>
        </w:rPr>
        <w:t xml:space="preserve">נסיבות פיטורי התובעת- </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כאמור, בשנת הלימודים תשע"א, בשל  מגמת ירידה מתמשכת בשיעור ההרשמה לאולפנה, שקלה הנתבעת את לסגור את האולפנה.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במהלך שנת הלימודים הנ"ל, בסמוך לחג הפסח (קרי: באפריל או במאי 2011) התקיים מפגש שבמהלכו פנה מנכ"ל הנתבעת, מר ביטון, לעובדי האולפנה והודיע להם כי אם לא ירשמו די תלמידות לשנת הלימודים תשע"ב, אזי תיסגר האולפנה בסוף שנת תשע"א.</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הנתבעת טענה כי במעמד זה הודע לכלל עובדי האולפנה, לרבות לתובעת על פיטוריהם. אולם, לא מצאנו תימוכין משכנעים לטענה.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 xml:space="preserve">לאחר הישיבה, בחודש מאי 2011, קיבלו </w:t>
      </w:r>
      <w:r w:rsidRPr="008D4727">
        <w:rPr>
          <w:rFonts w:ascii="Times New Roman" w:eastAsia="Times New Roman" w:hAnsi="Times New Roman" w:cs="David"/>
          <w:b/>
          <w:bCs/>
          <w:noProof/>
          <w:sz w:val="28"/>
          <w:szCs w:val="28"/>
          <w:rtl/>
        </w:rPr>
        <w:t>המורים</w:t>
      </w:r>
      <w:r w:rsidRPr="008D4727">
        <w:rPr>
          <w:rFonts w:ascii="Times New Roman" w:eastAsia="Times New Roman" w:hAnsi="Times New Roman" w:cs="David"/>
          <w:noProof/>
          <w:sz w:val="28"/>
          <w:szCs w:val="28"/>
          <w:rtl/>
        </w:rPr>
        <w:t xml:space="preserve"> ומנהלת הפנימייה, הודעות בדבר פיטוריהם. לתובעת לא נשלחה הודעת פיטורים באותו מועד.</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הצדדים נחלקו אשר לשאלה האם התובעת נכחה במפגש הנ"ל שנערך בחודש מאי. התובעת מצידה העידה כי לא הוזמנה ולא נכחה במפגש. מנגד, מר ביטון העיד, כי התובעת נכחה במפגש, כמו כל העובדים. הוא ציין כי הוא "חושב" שנשלחה הזמנה בכתב לכל העובדים, ואף קיים מסמך המתעד את תוכן הפגישה, אולם הנתבעת לא צירפה מסמכים אלו כראיות, ומר ביטון לא ידע להסביר מדוע. בהקשר זה מעדיפים אנו את גרסת התובעת, אשר </w:t>
      </w:r>
      <w:r w:rsidRPr="008D4727">
        <w:rPr>
          <w:rFonts w:ascii="Times New Roman" w:eastAsia="Times New Roman" w:hAnsi="Times New Roman" w:cs="David" w:hint="cs"/>
          <w:noProof/>
          <w:sz w:val="28"/>
          <w:szCs w:val="28"/>
          <w:rtl/>
        </w:rPr>
        <w:t>מצאנוה כ</w:t>
      </w:r>
      <w:r w:rsidRPr="008D4727">
        <w:rPr>
          <w:rFonts w:ascii="Times New Roman" w:eastAsia="Times New Roman" w:hAnsi="Times New Roman" w:cs="David"/>
          <w:noProof/>
          <w:sz w:val="28"/>
          <w:szCs w:val="28"/>
          <w:rtl/>
        </w:rPr>
        <w:t xml:space="preserve">מהימנה, והואיל והתרשמנו כי מר ביטון התקשה לזכור את העובדות לאשורן.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לצד זאת, נציין כי איננו סבורים שיש לייחס משמעות רבה לשאלת נוכחות התובעת במפגש זה. שכן, מחומר הראיות עולה כי בשנים עברו, הודעות ממין זה, שעניינן סגירתה הצפויה האולפנה, היו חזון נפרץ בנתבעת. כך, התובעת העידה – ועדותה לא נסתרה -  כי בשנים עברו, על רקע מספר נרשמות נמוך, נאמר לעובדים שהאולפנה עומדת להיסגר, והיא אף פוטרה, אולם בסופו של דבר הגזרה לא התממש, ופיטוריה בוטלו.</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על רקע זה, והואיל וכפי שיתברר להלן התובעת קיבלה הודעה על פיטוריה רק בסוף חודש אוגוסט 2011, הרי שאיננו מקבלים את טענת הנתבעת שלפיה כבר בחודש מאי 2011 התובעת ידעה, או הבינה, או שהיה עליה לדעת, כי היא תפוטר בתום השנה.</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בתחילת חודש אוגוסט 2011, נערך מפגש בין עובדי האולפנה לבין בנות האולפנה (התלמידות). התובעת העידה כי באותו מפגש הסתבר לה, כי הוחלט על העברת התלמידות למוסד חינוכי אחר בירושלים, שאינו קשור לנתבעת, וכי בנסיבות אלו הבינה כי למעשה התקבלה החלטה סופית על סגירת האולפנה.</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החל משנת הלימודים תשע"ב, פתחה הנתבעת, במקום הפיזי בו שכנה אולפנת הגליל, פנימייה חדשה, שכונתה "מרחביה",  אשר יועדה לבנות בכיתות ט' עד י"ב, במגמה טכנולוגית, ואשר – לשיטת הצדדים -  פנתה לאוכלוסייה </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צברית</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 xml:space="preserve"> מסורתית (להלן: </w:t>
      </w:r>
      <w:r w:rsidRPr="008D4727">
        <w:rPr>
          <w:rFonts w:ascii="Times New Roman" w:eastAsia="Times New Roman" w:hAnsi="Times New Roman" w:cs="David"/>
          <w:b/>
          <w:bCs/>
          <w:noProof/>
          <w:sz w:val="28"/>
          <w:szCs w:val="28"/>
          <w:rtl/>
        </w:rPr>
        <w:t>"מרחביה"</w:t>
      </w:r>
      <w:r w:rsidRPr="008D4727">
        <w:rPr>
          <w:rFonts w:ascii="Times New Roman" w:eastAsia="Times New Roman" w:hAnsi="Times New Roman" w:cs="David"/>
          <w:noProof/>
          <w:sz w:val="28"/>
          <w:szCs w:val="28"/>
          <w:rtl/>
        </w:rPr>
        <w:t xml:space="preserve"> או </w:t>
      </w:r>
      <w:r w:rsidRPr="008D4727">
        <w:rPr>
          <w:rFonts w:ascii="Times New Roman" w:eastAsia="Times New Roman" w:hAnsi="Times New Roman" w:cs="David"/>
          <w:b/>
          <w:bCs/>
          <w:noProof/>
          <w:sz w:val="28"/>
          <w:szCs w:val="28"/>
          <w:rtl/>
        </w:rPr>
        <w:t>"המוסד החדש"</w:t>
      </w:r>
      <w:r w:rsidRPr="008D4727">
        <w:rPr>
          <w:rFonts w:ascii="Times New Roman" w:eastAsia="Times New Roman" w:hAnsi="Times New Roman" w:cs="David"/>
          <w:noProof/>
          <w:sz w:val="28"/>
          <w:szCs w:val="28"/>
          <w:rtl/>
        </w:rPr>
        <w:t>). תלמידות האולפנה שנסגרה נקלטו במוסד אחר – "בת ציון" בירושלים – אשר כאמור אינו קשור לנתבעת; ואילו מקרב עובדות האולפנה שפוטרו (עשרות מספר), נקלטו במרחביה עובדות בודדות בלבד.</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 xml:space="preserve">כבר במהלך חודש אוגוסט 2011, לכל המאוחר, חיפשה הנתבעת אם בית לפנימייה החדשה.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התובעת העידה כי בשלהי אוגוסט היא ניסתה לפנות לגב' רחל נוטיק, המנהלת החדשה שמונתה למרחביה, על מנת להציג את מועמדותה לתפקיד אם הבית. משלא הצליחה לשוחח עם גב' נוטיק, היא ניגשה למשרדה, שוחחה עם סגניתה וביקשה לקבוע פגישה עמה, ונאמר לה כי גב' נוטיק תזמנה לראיון.</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עוד העידה התובעת כי ביום 31.08.11, שוחחה עם מר ביטון, והודיעה לו כי הגישה את מועמדותה למשרת אם בית במרחביה, והלה השיב לה כי תקבל תשובה בעוד יומיים.</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בסופו של יום, כך הוסיפה וטענה התובעת, לא קיבלה כל תשובה אשר למועמדותה, לא זומנה לראיון, ולמעשה מעולם לא פגשה את גב' נוטיק.</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מר הייזלר, העיד בתצהירו, באופן בלתי מסוייג, כי במהלך חופשת הקיץ 2011 זומנה התובעת לראיון קבלה ב"מרחביה". עוד ציין מר הייזלר כי הראיון נערך, ו</w:t>
      </w:r>
      <w:r w:rsidRPr="008D4727">
        <w:rPr>
          <w:rFonts w:ascii="Times New Roman" w:eastAsia="Times New Roman" w:hAnsi="Times New Roman" w:cs="David" w:hint="cs"/>
          <w:noProof/>
          <w:sz w:val="28"/>
          <w:szCs w:val="28"/>
          <w:rtl/>
        </w:rPr>
        <w:t>התיימר</w:t>
      </w:r>
      <w:r w:rsidRPr="008D4727">
        <w:rPr>
          <w:rFonts w:ascii="Times New Roman" w:eastAsia="Times New Roman" w:hAnsi="Times New Roman" w:cs="David"/>
          <w:noProof/>
          <w:sz w:val="28"/>
          <w:szCs w:val="28"/>
          <w:rtl/>
        </w:rPr>
        <w:t xml:space="preserve"> אף לציין כי מועמדות התובעת נשקלה בכובד ראש. אולם בחקירתו הנגדית בפנינו ציין כי העיד על אודות פרטים אלו מפי השמועה.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מר ביטון העיד בפנינו כי גב' נוטיק </w:t>
      </w:r>
      <w:r w:rsidRPr="008D4727">
        <w:rPr>
          <w:rFonts w:ascii="Times New Roman" w:eastAsia="Times New Roman" w:hAnsi="Times New Roman" w:cs="David"/>
          <w:b/>
          <w:bCs/>
          <w:noProof/>
          <w:sz w:val="28"/>
          <w:szCs w:val="28"/>
          <w:rtl/>
        </w:rPr>
        <w:t>אמרה לו</w:t>
      </w:r>
      <w:r w:rsidRPr="008D4727">
        <w:rPr>
          <w:rFonts w:ascii="Times New Roman" w:eastAsia="Times New Roman" w:hAnsi="Times New Roman" w:cs="David"/>
          <w:noProof/>
          <w:sz w:val="28"/>
          <w:szCs w:val="28"/>
          <w:rtl/>
        </w:rPr>
        <w:t xml:space="preserve"> כי ראיינה את התובעת לעבודה, וכי התובעת לא נמצאה מתאימה לתפקיד, זאת על אף שלחץ על הראשונה לקבל את התובעת לעבודה.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עדות זו של  מר ביטון היתה כללית ומהוססת, ונראה היה כי עדות עדי ההגנה שניהם לא התבססה על ידיעתם האישית. על כן, לא מצאנו כי ניתן לקבוע ממצאים עובדתיים על יסוד עדותם בהקשר זה.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אשר על כן, אנו מקבלים את עדות התובעת, וקובעים כי </w:t>
      </w:r>
      <w:r w:rsidRPr="008D4727">
        <w:rPr>
          <w:rFonts w:ascii="Times New Roman" w:eastAsia="Times New Roman" w:hAnsi="Times New Roman" w:cs="David" w:hint="cs"/>
          <w:noProof/>
          <w:sz w:val="28"/>
          <w:szCs w:val="28"/>
          <w:rtl/>
        </w:rPr>
        <w:t>היא</w:t>
      </w:r>
      <w:r w:rsidRPr="008D4727">
        <w:rPr>
          <w:rFonts w:ascii="Times New Roman" w:eastAsia="Times New Roman" w:hAnsi="Times New Roman" w:cs="David"/>
          <w:noProof/>
          <w:sz w:val="28"/>
          <w:szCs w:val="28"/>
          <w:rtl/>
        </w:rPr>
        <w:t xml:space="preserve"> לא זומנה לראיון למשרת אם בית במרחביה, חרף</w:t>
      </w:r>
      <w:r w:rsidRPr="008D4727">
        <w:rPr>
          <w:rFonts w:ascii="Times New Roman" w:eastAsia="Times New Roman" w:hAnsi="Times New Roman" w:cs="David" w:hint="cs"/>
          <w:noProof/>
          <w:sz w:val="28"/>
          <w:szCs w:val="28"/>
          <w:rtl/>
        </w:rPr>
        <w:t xml:space="preserve"> העובדה </w:t>
      </w:r>
      <w:r w:rsidRPr="008D4727">
        <w:rPr>
          <w:rFonts w:ascii="Times New Roman" w:eastAsia="Times New Roman" w:hAnsi="Times New Roman" w:cs="David"/>
          <w:noProof/>
          <w:sz w:val="28"/>
          <w:szCs w:val="28"/>
          <w:rtl/>
        </w:rPr>
        <w:t>שהנתבעת חיפשה אם בית למוסד החדש, ולמרות שהתובעת הציגה מועמדותה לתפקיד.</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בתאריך 28.08.11, בעוד התובעת ממתינה לראיון, התקשרה מזכירת מנכ"ל הנתבעת אל התובעת, והורתה לה לפנות את דירת השירות, וזאת עד לסוף חודש ספטמבר 2011.</w:t>
      </w:r>
    </w:p>
    <w:p w:rsidR="008D4727" w:rsidRPr="008D4727" w:rsidRDefault="008D4727" w:rsidP="008D4727">
      <w:pPr>
        <w:spacing w:after="120" w:line="360" w:lineRule="auto"/>
        <w:ind w:left="360"/>
        <w:jc w:val="both"/>
        <w:rPr>
          <w:rFonts w:ascii="Times New Roman" w:eastAsia="Times New Roman" w:hAnsi="Times New Roman" w:cs="David"/>
          <w:b/>
          <w:bCs/>
          <w:noProof/>
          <w:sz w:val="26"/>
          <w:szCs w:val="26"/>
          <w:rtl/>
        </w:rPr>
      </w:pPr>
      <w:r w:rsidRPr="008D4727">
        <w:rPr>
          <w:rFonts w:ascii="Times New Roman" w:eastAsia="Times New Roman" w:hAnsi="Times New Roman" w:cs="David"/>
          <w:noProof/>
          <w:sz w:val="28"/>
          <w:szCs w:val="28"/>
          <w:rtl/>
        </w:rPr>
        <w:t xml:space="preserve">התובעת העידה כי באותה השיחה הודיעה לה המזכירה, כי, למיטב ידיעתה, יש עבורה מכתב פיטורים במגירת המנכ"ל, וכי על התובעת להגיע למשרד כדי לקבלו. התובעת הודתה כי סירבה לקחת את המכתב. לפי טענתה – השיבה </w:t>
      </w:r>
      <w:r w:rsidRPr="008D4727">
        <w:rPr>
          <w:rFonts w:ascii="Times New Roman" w:eastAsia="Times New Roman" w:hAnsi="Times New Roman" w:cs="David"/>
          <w:noProof/>
          <w:sz w:val="28"/>
          <w:szCs w:val="28"/>
          <w:rtl/>
        </w:rPr>
        <w:lastRenderedPageBreak/>
        <w:t xml:space="preserve">למזכירה כי </w:t>
      </w:r>
      <w:r w:rsidRPr="008D4727">
        <w:rPr>
          <w:rFonts w:ascii="Times New Roman" w:eastAsia="Times New Roman" w:hAnsi="Times New Roman" w:cs="David"/>
          <w:b/>
          <w:bCs/>
          <w:noProof/>
          <w:sz w:val="26"/>
          <w:szCs w:val="26"/>
          <w:rtl/>
        </w:rPr>
        <w:t>"...אם ברצון הנתבעת לפטר אותה, עליה לשלוח את המכתב אליה ישירות ולא לבקש ממנה לבוא ולאסוף אותו כדרך אגב".</w:t>
      </w:r>
    </w:p>
    <w:p w:rsidR="008D4727" w:rsidRPr="008D4727" w:rsidRDefault="008D4727" w:rsidP="008D4727">
      <w:pPr>
        <w:spacing w:after="120" w:line="360" w:lineRule="auto"/>
        <w:ind w:left="360"/>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בעדותה בפנינו, ובסיכומיה </w:t>
      </w:r>
      <w:r w:rsidRPr="008D4727">
        <w:rPr>
          <w:rFonts w:ascii="Times New Roman" w:eastAsia="Times New Roman" w:hAnsi="Times New Roman" w:cs="David" w:hint="cs"/>
          <w:noProof/>
          <w:sz w:val="28"/>
          <w:szCs w:val="28"/>
          <w:rtl/>
        </w:rPr>
        <w:t>אישרה</w:t>
      </w:r>
      <w:r w:rsidRPr="008D4727">
        <w:rPr>
          <w:rFonts w:ascii="Times New Roman" w:eastAsia="Times New Roman" w:hAnsi="Times New Roman" w:cs="David"/>
          <w:noProof/>
          <w:sz w:val="28"/>
          <w:szCs w:val="28"/>
          <w:rtl/>
        </w:rPr>
        <w:t xml:space="preserve"> התובעת כי במועד שבו שוחחה עם המזכירה כאמור – קרי: ביום 28.08.11 – נודע לה כי היא מפוטרת</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hint="cs"/>
          <w:noProof/>
          <w:sz w:val="28"/>
          <w:szCs w:val="28"/>
          <w:rtl/>
        </w:rPr>
        <w:br/>
      </w:r>
      <w:r w:rsidRPr="008D4727">
        <w:rPr>
          <w:rFonts w:ascii="Times New Roman" w:eastAsia="Times New Roman" w:hAnsi="Times New Roman" w:cs="David"/>
          <w:noProof/>
          <w:sz w:val="28"/>
          <w:szCs w:val="28"/>
          <w:rtl/>
        </w:rPr>
        <w:t>התובעת העידה בתצהירה כי ביום 12.09.11, פנתה למר ביטון בשאלה לגבי מעמדה. לטענתה, בו ביום נשלח אליה מכתב פיטורים.</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 מר ביטון לא ידע להעיד מתי נשלח לתובעת המכתב, הוא טען כי "ייתכן שנשלח בזמנו", וכן טען באופן כללי כי ברגע שהוא מוציא מכתב, הוא נשלח לעובד. בהמשך טען מר ביטון, שוב באופן כללי, כי נעשו ניסיונות ללא הפסק להשיג את התובעת. טענה זו תמוהה, לאור </w:t>
      </w:r>
      <w:r w:rsidRPr="008D4727">
        <w:rPr>
          <w:rFonts w:ascii="Times New Roman" w:eastAsia="Times New Roman" w:hAnsi="Times New Roman" w:cs="David" w:hint="cs"/>
          <w:noProof/>
          <w:sz w:val="28"/>
          <w:szCs w:val="28"/>
          <w:rtl/>
        </w:rPr>
        <w:t>העובדה</w:t>
      </w:r>
      <w:r w:rsidRPr="008D4727">
        <w:rPr>
          <w:rFonts w:ascii="Times New Roman" w:eastAsia="Times New Roman" w:hAnsi="Times New Roman" w:cs="David"/>
          <w:noProof/>
          <w:sz w:val="28"/>
          <w:szCs w:val="28"/>
          <w:rtl/>
        </w:rPr>
        <w:t xml:space="preserve"> שאין חולק שבמהלך החודשים אוגוסט וספטמבר 2011 התובעת התגוררה בדירת השירות. בנוסף, כאשר נשאל לאיזה כתובת נשלח המכתב השיב: "לא מתעסק בזה, יש לי מזכירה זה תפקידה."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בעדותה בפנינו העידה התובעת כי מכתב הפיטורים התקבל בידיה ביום 11.09.11, אולם איננו מוצאים משמעות כלשהי לפער בין נתון זה לבין האמור בתצהירה.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משכך, אנו מעדיפים את האמור בתצהיר התובעת, וקובעים כי התובעת קיבלה את מכתב הפיטורים לידיה ביום 12.09.11.</w:t>
      </w: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6"/>
          <w:szCs w:val="26"/>
          <w:rtl/>
        </w:rPr>
      </w:pPr>
      <w:r w:rsidRPr="008D4727">
        <w:rPr>
          <w:rFonts w:ascii="Times New Roman" w:eastAsia="Times New Roman" w:hAnsi="Times New Roman" w:cs="David"/>
          <w:noProof/>
          <w:sz w:val="28"/>
          <w:szCs w:val="28"/>
          <w:rtl/>
        </w:rPr>
        <w:t xml:space="preserve">במכתב הפיטורים – אשר נושא תאריך 01.08.11 -  נכתב כך: </w:t>
      </w:r>
      <w:r w:rsidRPr="008D4727">
        <w:rPr>
          <w:rFonts w:ascii="Times New Roman" w:eastAsia="Times New Roman" w:hAnsi="Times New Roman" w:cs="David"/>
          <w:b/>
          <w:bCs/>
          <w:noProof/>
          <w:sz w:val="26"/>
          <w:szCs w:val="26"/>
          <w:rtl/>
        </w:rPr>
        <w:t xml:space="preserve">"בהתאם להחלטת הנהלת מוסדות מגדל אור, הוחלט להפסיק את עבודתך במוסדות מגדל אור, בתאריך 1.09.2011. בשם מוסדות מגדל אור הננו מודים לך על עבודתך ומאחלים לך הצלחה מלאה בהמשך דרכך".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בהמשך לאמור במכתב הפיטורים, ביום 01.09.11 הפסיקה הנתבעת לשלם לתובעת שכר.</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טענת הנתבעת שלפיה, התובעת ידעה, ולמצער היה עליה לדעת, זמן רב מראש, שבסוף שנת הלימודים תשע"א תסתיים עבודתה – אינה מקובלת עלינו.</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אומנם, מר ביטון העיד, באופן כללי, כי בין יום 31.05.11 ועד למועד שהתובעת קיבלה לידיה את מכתב הפיטורים, שוחח עם התובעת רבות, ובשיחות אלו אמר לה כי היא מפוטרת. אולם, בחקירתו הנגדית, לא ידע מר ביטון לומר מתי </w:t>
      </w:r>
      <w:r w:rsidRPr="008D4727">
        <w:rPr>
          <w:rFonts w:ascii="Times New Roman" w:eastAsia="Times New Roman" w:hAnsi="Times New Roman" w:cs="David" w:hint="cs"/>
          <w:noProof/>
          <w:sz w:val="28"/>
          <w:szCs w:val="28"/>
          <w:rtl/>
        </w:rPr>
        <w:t>התקיימו</w:t>
      </w:r>
      <w:r w:rsidRPr="008D4727">
        <w:rPr>
          <w:rFonts w:ascii="Times New Roman" w:eastAsia="Times New Roman" w:hAnsi="Times New Roman" w:cs="David"/>
          <w:noProof/>
          <w:sz w:val="28"/>
          <w:szCs w:val="28"/>
          <w:rtl/>
        </w:rPr>
        <w:t xml:space="preserve"> השיחות, וכאשר נשאל האם יש בידיו מסמך המתעד את השיחות השיב בשלילה. </w:t>
      </w:r>
    </w:p>
    <w:p w:rsidR="008D4727" w:rsidRPr="008D4727" w:rsidRDefault="008D4727" w:rsidP="008D4727">
      <w:pPr>
        <w:spacing w:after="120" w:line="360" w:lineRule="auto"/>
        <w:ind w:left="360"/>
        <w:jc w:val="both"/>
        <w:rPr>
          <w:rFonts w:ascii="Times New Roman" w:eastAsia="Times New Roman" w:hAnsi="Times New Roman" w:cs="David"/>
          <w:strike/>
          <w:noProof/>
          <w:sz w:val="28"/>
          <w:szCs w:val="28"/>
        </w:rPr>
      </w:pPr>
      <w:r w:rsidRPr="008D4727">
        <w:rPr>
          <w:rFonts w:ascii="Times New Roman" w:eastAsia="Times New Roman" w:hAnsi="Times New Roman" w:cs="David"/>
          <w:noProof/>
          <w:sz w:val="28"/>
          <w:szCs w:val="28"/>
          <w:rtl/>
        </w:rPr>
        <w:lastRenderedPageBreak/>
        <w:t xml:space="preserve">נעיר כי יש להבחין היטב בין סגירת האולפנה לבין פיטורי התובעת. תהליך סגירת האולפנה הגביר את ההסתברות לפגיעה בביטחון התעסוקתי של התובעת. אולם, לא ניתן להסיק ממנו פיטורים. שכן, סגירת האולפנה לא התרחשה בנסיבות של חיסול המעסיק.  אדרבא, כפי שעולה מחומר הראיות, אף לאחר סגירת האולפנה, הנתבעת חיה ונשמה, ונותרה גוף אשר לו מוסדות ועובדים למכביר. </w:t>
      </w:r>
    </w:p>
    <w:p w:rsidR="008D4727" w:rsidRPr="008D4727" w:rsidRDefault="008D4727" w:rsidP="008D4727">
      <w:pPr>
        <w:spacing w:after="120" w:line="360" w:lineRule="auto"/>
        <w:ind w:left="360"/>
        <w:jc w:val="both"/>
        <w:rPr>
          <w:rFonts w:ascii="Times New Roman" w:eastAsia="Times New Roman" w:hAnsi="Times New Roman" w:cs="David"/>
          <w:strike/>
          <w:noProof/>
          <w:sz w:val="28"/>
          <w:szCs w:val="28"/>
          <w:rtl/>
        </w:rPr>
      </w:pPr>
      <w:r w:rsidRPr="008D4727">
        <w:rPr>
          <w:rFonts w:ascii="Times New Roman" w:eastAsia="Times New Roman" w:hAnsi="Times New Roman" w:cs="David"/>
          <w:noProof/>
          <w:sz w:val="28"/>
          <w:szCs w:val="28"/>
          <w:rtl/>
        </w:rPr>
        <w:t>על כן, כל עוד לא התקבלה בידי התובעת הודעה על פיטוריה, איננו סבורים כי התובעת ידעה או שהיה עליה לדעת, כי היא מפוטרת.</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אשר על כן, על יסוד האמור לעיל, ולאחר שבחנו את מכלול חומר הראיות אנו קובעים כדלקמן:</w:t>
      </w:r>
      <w:r w:rsidRPr="008D4727">
        <w:rPr>
          <w:rFonts w:ascii="Times New Roman" w:eastAsia="Times New Roman" w:hAnsi="Times New Roman" w:cs="David"/>
          <w:noProof/>
          <w:sz w:val="28"/>
          <w:szCs w:val="28"/>
        </w:rPr>
        <w:t xml:space="preserve"> </w:t>
      </w:r>
      <w:r w:rsidRPr="008D4727">
        <w:rPr>
          <w:rFonts w:ascii="Times New Roman" w:eastAsia="Times New Roman" w:hAnsi="Times New Roman" w:cs="David"/>
          <w:noProof/>
          <w:sz w:val="28"/>
          <w:szCs w:val="28"/>
          <w:rtl/>
        </w:rPr>
        <w:t xml:space="preserve">התובעת פוטרה ביום 28.08.11, הוא היום שבו הודע לה טלפונית כי ממתין עבורה מכתב פיטורים. שכן, אין התובעת יכולה להיבנות מסירובה להגיע וליטול את מכתב הפיטורים. לצד זאת, לא מצאנו תימוכין משכנעים לכך שהודע לתובעת על פיטוריה טרם 28.08.11. כך, לא מצאנו כי מר ביטון הודיע לתובעת על פיטוריה בעל פה, כשם שלא מצאנו כי נעשה ניסיון רציני להמציא לתובעת את מכתב הפיטורים בתקופה שבין 01.08.11 – 28.08.11. </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אין חולק שהנתבעת החליטה  כי מי שתעבוד כאם בית במרחביה היא הגב' דגנית מלכה, אשר כזכור עבדה לצד התובעת באולפנת הגליל</w:t>
      </w:r>
      <w:r w:rsidRPr="008D4727">
        <w:rPr>
          <w:rFonts w:ascii="Times New Roman" w:eastAsia="Times New Roman" w:hAnsi="Times New Roman" w:cs="David" w:hint="cs"/>
          <w:noProof/>
          <w:sz w:val="28"/>
          <w:szCs w:val="28"/>
          <w:rtl/>
        </w:rPr>
        <w:t xml:space="preserve"> ; עוד</w:t>
      </w:r>
      <w:r w:rsidRPr="008D4727">
        <w:rPr>
          <w:rFonts w:ascii="Times New Roman" w:eastAsia="Times New Roman" w:hAnsi="Times New Roman" w:cs="David"/>
          <w:noProof/>
          <w:sz w:val="28"/>
          <w:szCs w:val="28"/>
          <w:rtl/>
        </w:rPr>
        <w:t xml:space="preserve"> אין חולק כי בעת פיטוריה הייתה התובעת בת 58 שנים, ואילו הגב' מלכה הייתה בשנות הארבעים לחייה.</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להשלמת התמונה נציין כי ניכר מחומר הראיות שהנתבעת הוסיפה וחיפשה אם בית למרחביה אף לאחר שהחליטה להציב את הגב' מלכה לעבודה שם.</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כך ניתן להבין מעדותו של מר הייזלר, וכך עולה מעדות התובעת בתצהירה, שלפיה לתפקיד אם הבית במרחביה התקבלה עובדת צעירה, בת 25 שנים, ללא כל ניסיון בתפקיד.</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מעדות התובעת בפנינו, עולה כי בסמוך לפתיחת שנה הלימודים, גב' מלכה ילדה, ויש להניח שהגיוס הנוסף היה לשם מילוי מקומה של הגב' מלכה.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בראי עובדות אלו, נבחן להלן את טענות צדדים.</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b/>
          <w:bCs/>
          <w:noProof/>
          <w:sz w:val="28"/>
          <w:szCs w:val="28"/>
          <w:rtl/>
        </w:rPr>
        <w:t>איסור הפליה: המסגרת הנורמטיבית</w:t>
      </w:r>
      <w:r w:rsidRPr="008D4727">
        <w:rPr>
          <w:rFonts w:ascii="Times New Roman" w:eastAsia="Times New Roman" w:hAnsi="Times New Roman" w:cs="David"/>
          <w:noProof/>
          <w:sz w:val="28"/>
          <w:szCs w:val="28"/>
          <w:rtl/>
        </w:rPr>
        <w:t xml:space="preserve"> –</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עיקרון השוויון הוא מנשמת אפה של שיטתנו המשפטית. "...הצורך להבטיח שוויון הוא טבעי לאדם. הוא מבוסס על שיקולים של צדק והגינות. המבקש הכרה בזכותו, צריך להכיר בזכותו של הזולת לבקש הכרה דומה. הצורך לקיים שוויון הוא חיוני לחברה ולהסכמה החברתית שעליה היא בנויה" [</w:t>
      </w:r>
      <w:hyperlink r:id="rId19" w:history="1">
        <w:r w:rsidRPr="008D4727">
          <w:rPr>
            <w:rFonts w:ascii="Times New Roman" w:eastAsia="Times New Roman" w:hAnsi="Times New Roman" w:cs="David"/>
            <w:noProof/>
            <w:color w:val="0000FF"/>
            <w:sz w:val="28"/>
            <w:szCs w:val="28"/>
            <w:u w:val="single"/>
            <w:rtl/>
          </w:rPr>
          <w:t>בג"ץ 953/87 פורז נגד להט פ"ד מב</w:t>
        </w:r>
      </w:hyperlink>
      <w:r w:rsidRPr="008D4727">
        <w:rPr>
          <w:rFonts w:ascii="Times New Roman" w:eastAsia="Times New Roman" w:hAnsi="Times New Roman" w:cs="David"/>
          <w:noProof/>
          <w:sz w:val="28"/>
          <w:szCs w:val="28"/>
          <w:rtl/>
        </w:rPr>
        <w:t>(2) 309].</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כחלק מן ההכרה בחשיבות עיקרון השוויון, ובמטרה להטמיעו בכל תחומי החיים – לרבות בשוק העבודה -  נחקקו שורה של חוקים, וביניהם </w:t>
      </w:r>
      <w:hyperlink r:id="rId20" w:history="1">
        <w:r w:rsidRPr="008D4727">
          <w:rPr>
            <w:rFonts w:ascii="Times New Roman" w:eastAsia="Times New Roman" w:hAnsi="Times New Roman" w:cs="David"/>
            <w:noProof/>
            <w:color w:val="0000FF"/>
            <w:sz w:val="28"/>
            <w:szCs w:val="28"/>
            <w:u w:val="single"/>
            <w:rtl/>
          </w:rPr>
          <w:t>חוק שוויון הזדמנויות בעבודה</w:t>
        </w:r>
      </w:hyperlink>
      <w:r w:rsidRPr="008D4727">
        <w:rPr>
          <w:rFonts w:ascii="Times New Roman" w:eastAsia="Times New Roman" w:hAnsi="Times New Roman" w:cs="David"/>
          <w:noProof/>
          <w:sz w:val="28"/>
          <w:szCs w:val="28"/>
          <w:rtl/>
        </w:rPr>
        <w:t xml:space="preserve"> (בפרק זה להלן: </w:t>
      </w:r>
      <w:r w:rsidRPr="008D4727">
        <w:rPr>
          <w:rFonts w:ascii="Times New Roman" w:eastAsia="Times New Roman" w:hAnsi="Times New Roman" w:cs="David"/>
          <w:b/>
          <w:bCs/>
          <w:noProof/>
          <w:sz w:val="28"/>
          <w:szCs w:val="28"/>
          <w:rtl/>
        </w:rPr>
        <w:t>"החוק"</w:t>
      </w:r>
      <w:r w:rsidRPr="008D4727">
        <w:rPr>
          <w:rFonts w:ascii="Times New Roman" w:eastAsia="Times New Roman" w:hAnsi="Times New Roman" w:cs="David"/>
          <w:noProof/>
          <w:sz w:val="28"/>
          <w:szCs w:val="28"/>
          <w:rtl/>
        </w:rPr>
        <w:t xml:space="preserve">). תכליתו של חוק זה להגשים ולקדם את עיקרון השוויון באמצעות הטלת איסור על מעסיק להפלות בין עובדים על בסיס שיקולים שאינם ענייניים או לגיטימיים [עיינו: </w:t>
      </w:r>
      <w:hyperlink r:id="rId21" w:history="1">
        <w:r w:rsidRPr="008D4727">
          <w:rPr>
            <w:rFonts w:ascii="Times New Roman" w:eastAsia="Times New Roman" w:hAnsi="Times New Roman" w:cs="David"/>
            <w:noProof/>
            <w:color w:val="0000FF"/>
            <w:sz w:val="28"/>
            <w:szCs w:val="28"/>
            <w:u w:val="single"/>
            <w:rtl/>
          </w:rPr>
          <w:t>בג"ץ 1758/11</w:t>
        </w:r>
      </w:hyperlink>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b/>
          <w:bCs/>
          <w:noProof/>
          <w:sz w:val="28"/>
          <w:szCs w:val="28"/>
          <w:rtl/>
        </w:rPr>
        <w:t>גורן נגד הום סנטר (עשה זאת בעצמך)</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noProof/>
          <w:sz w:val="28"/>
          <w:szCs w:val="28"/>
          <w:rtl/>
        </w:rPr>
        <w:t>(17.05.12)]</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 אבן הראשה של החוק הוא </w:t>
      </w:r>
      <w:hyperlink r:id="rId22" w:history="1">
        <w:r w:rsidRPr="008D4727">
          <w:rPr>
            <w:rFonts w:ascii="Times New Roman" w:eastAsia="Times New Roman" w:hAnsi="Times New Roman" w:cs="David"/>
            <w:noProof/>
            <w:color w:val="0000FF"/>
            <w:sz w:val="28"/>
            <w:szCs w:val="28"/>
            <w:u w:val="single"/>
            <w:rtl/>
          </w:rPr>
          <w:t>סעיף 2</w:t>
        </w:r>
      </w:hyperlink>
      <w:r w:rsidRPr="008D4727">
        <w:rPr>
          <w:rFonts w:ascii="Times New Roman" w:eastAsia="Times New Roman" w:hAnsi="Times New Roman" w:cs="David"/>
          <w:noProof/>
          <w:sz w:val="28"/>
          <w:szCs w:val="28"/>
          <w:rtl/>
        </w:rPr>
        <w:t xml:space="preserve"> שכותרתו, "איסור הפליה", ואשר זו לשונו: </w:t>
      </w:r>
    </w:p>
    <w:p w:rsidR="008D4727" w:rsidRPr="008D4727" w:rsidRDefault="008D4727" w:rsidP="008D472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"2.</w:t>
      </w:r>
      <w:r w:rsidRPr="008D4727">
        <w:rPr>
          <w:rFonts w:ascii="Times New Roman" w:eastAsia="Times New Roman" w:hAnsi="Times New Roman" w:cs="David"/>
          <w:b/>
          <w:bCs/>
          <w:sz w:val="26"/>
          <w:szCs w:val="26"/>
          <w:rtl/>
          <w:lang w:eastAsia="he-IL"/>
        </w:rPr>
        <w:tab/>
        <w:t>(א)</w:t>
      </w:r>
      <w:r w:rsidRPr="008D4727">
        <w:rPr>
          <w:rFonts w:ascii="Times New Roman" w:eastAsia="Times New Roman" w:hAnsi="Times New Roman" w:cs="David"/>
          <w:b/>
          <w:bCs/>
          <w:sz w:val="26"/>
          <w:szCs w:val="26"/>
          <w:rtl/>
          <w:lang w:eastAsia="he-IL"/>
        </w:rPr>
        <w:tab/>
        <w:t>לא יפלה מעסיק בין עובדיו או בין דורשי עבודה מחמת מינם, נטייתם המינית, מעמדם האישי, הריון, טיפולי פוריות, טיפולי הפריה חוץ-גופית, היותם הורים, גילם, גזעם, דתם, לאומיותם, ארץ מוצאם, השקפתם, מפלגתם או שירותם במילואים, קריאתם לשירות מילואים או שירותם הצפוי בשירות מילואים כהגדרתו בחוק שירות ביטחון [נוסח משולב], תשמ"ו-1986, לרבות מחמת תדירותו או משכו, כמשמעותו ב</w:t>
      </w:r>
      <w:hyperlink r:id="rId23" w:history="1">
        <w:r w:rsidRPr="008D4727">
          <w:rPr>
            <w:rFonts w:ascii="Times New Roman" w:eastAsia="Times New Roman" w:hAnsi="Times New Roman" w:cs="David"/>
            <w:b/>
            <w:bCs/>
            <w:color w:val="0000FF"/>
            <w:sz w:val="26"/>
            <w:szCs w:val="26"/>
            <w:u w:val="single"/>
            <w:rtl/>
            <w:lang w:eastAsia="he-IL"/>
          </w:rPr>
          <w:t>חוק שירות בטחון [נוסח משולב]</w:t>
        </w:r>
      </w:hyperlink>
      <w:r w:rsidRPr="008D4727">
        <w:rPr>
          <w:rFonts w:ascii="Times New Roman" w:eastAsia="Times New Roman" w:hAnsi="Times New Roman" w:cs="David"/>
          <w:b/>
          <w:bCs/>
          <w:sz w:val="26"/>
          <w:szCs w:val="26"/>
          <w:rtl/>
          <w:lang w:eastAsia="he-IL"/>
        </w:rPr>
        <w:t>, תשמ"ו-1986, הצפוי להם, בכל אחד מאלה:</w:t>
      </w:r>
    </w:p>
    <w:p w:rsidR="008D4727" w:rsidRPr="008D4727" w:rsidRDefault="008D4727" w:rsidP="008D4727">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283"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(1)</w:t>
      </w:r>
      <w:r w:rsidRPr="008D4727">
        <w:rPr>
          <w:rFonts w:ascii="Times New Roman" w:eastAsia="Times New Roman" w:hAnsi="Times New Roman" w:cs="David"/>
          <w:b/>
          <w:bCs/>
          <w:sz w:val="26"/>
          <w:szCs w:val="26"/>
          <w:rtl/>
          <w:lang w:eastAsia="he-IL"/>
        </w:rPr>
        <w:tab/>
        <w:t>קבלה לעבודה;</w:t>
      </w:r>
    </w:p>
    <w:p w:rsidR="008D4727" w:rsidRPr="008D4727" w:rsidRDefault="008D4727" w:rsidP="008D4727">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283"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(2)</w:t>
      </w:r>
      <w:r w:rsidRPr="008D4727">
        <w:rPr>
          <w:rFonts w:ascii="Times New Roman" w:eastAsia="Times New Roman" w:hAnsi="Times New Roman" w:cs="David"/>
          <w:b/>
          <w:bCs/>
          <w:sz w:val="26"/>
          <w:szCs w:val="26"/>
          <w:rtl/>
          <w:lang w:eastAsia="he-IL"/>
        </w:rPr>
        <w:tab/>
        <w:t>תנאי עבודה;</w:t>
      </w:r>
    </w:p>
    <w:p w:rsidR="008D4727" w:rsidRPr="008D4727" w:rsidRDefault="008D4727" w:rsidP="008D4727">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283"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(3)</w:t>
      </w:r>
      <w:r w:rsidRPr="008D4727">
        <w:rPr>
          <w:rFonts w:ascii="Times New Roman" w:eastAsia="Times New Roman" w:hAnsi="Times New Roman" w:cs="David"/>
          <w:b/>
          <w:bCs/>
          <w:sz w:val="26"/>
          <w:szCs w:val="26"/>
          <w:rtl/>
          <w:lang w:eastAsia="he-IL"/>
        </w:rPr>
        <w:tab/>
        <w:t>קידום בעבודה;</w:t>
      </w:r>
    </w:p>
    <w:p w:rsidR="008D4727" w:rsidRPr="008D4727" w:rsidRDefault="008D4727" w:rsidP="008D4727">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283"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(4)</w:t>
      </w:r>
      <w:r w:rsidRPr="008D4727">
        <w:rPr>
          <w:rFonts w:ascii="Times New Roman" w:eastAsia="Times New Roman" w:hAnsi="Times New Roman" w:cs="David"/>
          <w:b/>
          <w:bCs/>
          <w:sz w:val="26"/>
          <w:szCs w:val="26"/>
          <w:rtl/>
          <w:lang w:eastAsia="he-IL"/>
        </w:rPr>
        <w:tab/>
        <w:t>הכשרה או השתלמות מקצועית;</w:t>
      </w:r>
    </w:p>
    <w:p w:rsidR="008D4727" w:rsidRPr="008D4727" w:rsidRDefault="008D4727" w:rsidP="008D4727">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283"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(5)</w:t>
      </w:r>
      <w:r w:rsidRPr="008D4727">
        <w:rPr>
          <w:rFonts w:ascii="Times New Roman" w:eastAsia="Times New Roman" w:hAnsi="Times New Roman" w:cs="David"/>
          <w:b/>
          <w:bCs/>
          <w:sz w:val="26"/>
          <w:szCs w:val="26"/>
          <w:rtl/>
          <w:lang w:eastAsia="he-IL"/>
        </w:rPr>
        <w:tab/>
        <w:t>פיטורים או פיצויי פיטורים;</w:t>
      </w:r>
    </w:p>
    <w:p w:rsidR="008D4727" w:rsidRPr="008D4727" w:rsidRDefault="008D4727" w:rsidP="008D4727">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283"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(6)</w:t>
      </w:r>
      <w:r w:rsidRPr="008D4727">
        <w:rPr>
          <w:rFonts w:ascii="Times New Roman" w:eastAsia="Times New Roman" w:hAnsi="Times New Roman" w:cs="David"/>
          <w:b/>
          <w:bCs/>
          <w:sz w:val="26"/>
          <w:szCs w:val="26"/>
          <w:rtl/>
          <w:lang w:eastAsia="he-IL"/>
        </w:rPr>
        <w:tab/>
        <w:t>הטבות ותשלומים הניתנים לעובד בקשר לפרישה מעבודה."</w:t>
      </w:r>
    </w:p>
    <w:p w:rsidR="008D4727" w:rsidRPr="008D4727" w:rsidRDefault="008D4727" w:rsidP="008D4727">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2835" w:right="1134"/>
        <w:jc w:val="both"/>
        <w:rPr>
          <w:rFonts w:ascii="Times New Roman" w:eastAsia="Times New Roman" w:hAnsi="Times New Roman" w:cs="FrankRuehl"/>
          <w:sz w:val="26"/>
          <w:szCs w:val="26"/>
          <w:rtl/>
          <w:lang w:eastAsia="he-IL"/>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hint="cs"/>
          <w:noProof/>
          <w:sz w:val="28"/>
          <w:szCs w:val="28"/>
          <w:rtl/>
        </w:rPr>
        <w:t>האיסור בדבר הפלייה מחמת גיל נוסף לחוק שוויון הזדמנויות במסגרת תיקון מס' 3  לחוק משנת 1995. בית הדין הארצי עמד על מאפייני ההפלייה מחמת גיל בציינו:</w:t>
      </w:r>
    </w:p>
    <w:p w:rsidR="008D4727" w:rsidRPr="008D4727" w:rsidRDefault="008D4727" w:rsidP="008D4727">
      <w:pPr>
        <w:spacing w:after="0" w:line="360" w:lineRule="auto"/>
        <w:ind w:left="850" w:right="709"/>
        <w:contextualSpacing/>
        <w:jc w:val="both"/>
        <w:rPr>
          <w:rFonts w:ascii="Times New Roman" w:eastAsia="Times New Roman" w:hAnsi="Times New Roman" w:cs="David"/>
          <w:noProof/>
          <w:sz w:val="24"/>
          <w:szCs w:val="24"/>
          <w:rtl/>
        </w:rPr>
      </w:pP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הגם שהחוק מנוסח באופן ניטראלי, במרבית המקרים מכוונת ההפליה מחמת גי</w:t>
      </w:r>
      <w:r w:rsidRPr="008D4727">
        <w:rPr>
          <w:rFonts w:ascii="Times New Roman" w:eastAsia="Times New Roman" w:hAnsi="Times New Roman" w:cs="David" w:hint="cs"/>
          <w:noProof/>
          <w:sz w:val="28"/>
          <w:szCs w:val="28"/>
          <w:rtl/>
        </w:rPr>
        <w:t>ל</w:t>
      </w:r>
      <w:r w:rsidRPr="008D4727">
        <w:rPr>
          <w:rFonts w:ascii="Times New Roman" w:eastAsia="Times New Roman" w:hAnsi="Times New Roman" w:cs="David"/>
          <w:noProof/>
          <w:sz w:val="28"/>
          <w:szCs w:val="28"/>
          <w:rtl/>
        </w:rPr>
        <w:t xml:space="preserve"> כלפי מי שהחברה מתייחסת אליו כאל </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מבוגר</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 xml:space="preserve"> או </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זקן</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w:t>
      </w:r>
      <w:r w:rsidRPr="008D4727">
        <w:rPr>
          <w:rFonts w:ascii="Times New Roman" w:eastAsia="Times New Roman" w:hAnsi="Times New Roman" w:cs="David" w:hint="cs"/>
          <w:noProof/>
          <w:sz w:val="28"/>
          <w:szCs w:val="28"/>
          <w:rtl/>
        </w:rPr>
        <w:t xml:space="preserve"> </w:t>
      </w:r>
      <w:r w:rsidRPr="008D4727">
        <w:rPr>
          <w:rFonts w:ascii="Times New Roman" w:eastAsia="Times New Roman" w:hAnsi="Times New Roman" w:cs="David"/>
          <w:noProof/>
          <w:sz w:val="28"/>
          <w:szCs w:val="28"/>
          <w:rtl/>
        </w:rPr>
        <w:t>ויש בה כדי לשקף בעיה חברתית רחבת היקף של התייחסות לאנשים בגיל מתקדם כ</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b/>
          <w:bCs/>
          <w:noProof/>
          <w:sz w:val="28"/>
          <w:szCs w:val="28"/>
          <w:rtl/>
        </w:rPr>
        <w:t>קבוצה חברתית המתויגת כבעלת מאפייני חולשה ואי יכולת אך ורק בשל גילה הכרונולוגי</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w:t>
      </w:r>
      <w:r w:rsidRPr="008D4727">
        <w:rPr>
          <w:rFonts w:ascii="Times New Roman" w:eastAsia="Times New Roman" w:hAnsi="Times New Roman" w:cs="David" w:hint="cs"/>
          <w:noProof/>
          <w:sz w:val="28"/>
          <w:szCs w:val="28"/>
          <w:rtl/>
        </w:rPr>
        <w:t xml:space="preserve"> </w:t>
      </w:r>
      <w:r w:rsidRPr="008D4727">
        <w:rPr>
          <w:rFonts w:ascii="Times New Roman" w:eastAsia="Times New Roman" w:hAnsi="Times New Roman" w:cs="David"/>
          <w:noProof/>
          <w:sz w:val="28"/>
          <w:szCs w:val="28"/>
          <w:rtl/>
        </w:rPr>
        <w:lastRenderedPageBreak/>
        <w:t>תוך הדרתה הלכה למעשה מחלקים מרכזיים מהחברה</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התייחסות מפלה זו מוכרת במושג "גילנות" (</w:t>
      </w:r>
      <w:r w:rsidRPr="008D4727">
        <w:rPr>
          <w:rFonts w:ascii="Times New Roman" w:eastAsia="Times New Roman" w:hAnsi="Times New Roman" w:cs="David"/>
          <w:noProof/>
          <w:sz w:val="28"/>
          <w:szCs w:val="28"/>
        </w:rPr>
        <w:t>(AGEISM</w:t>
      </w:r>
      <w:r w:rsidRPr="008D4727">
        <w:rPr>
          <w:rFonts w:ascii="Times New Roman" w:eastAsia="Times New Roman" w:hAnsi="Times New Roman" w:cs="David"/>
          <w:noProof/>
          <w:sz w:val="28"/>
          <w:szCs w:val="28"/>
          <w:rtl/>
        </w:rPr>
        <w:t>, ובשנים האחרונות הולכת ומתחדדת המודעות המשפטית לה</w:t>
      </w:r>
      <w:r w:rsidRPr="008D4727">
        <w:rPr>
          <w:rFonts w:ascii="Times New Roman" w:eastAsia="Times New Roman" w:hAnsi="Times New Roman" w:cs="David" w:hint="cs"/>
          <w:noProof/>
          <w:sz w:val="24"/>
          <w:szCs w:val="24"/>
          <w:rtl/>
        </w:rPr>
        <w:t>...</w:t>
      </w:r>
      <w:r w:rsidRPr="008D4727">
        <w:rPr>
          <w:rFonts w:ascii="Times New Roman" w:eastAsia="Times New Roman" w:hAnsi="Times New Roman" w:cs="David"/>
          <w:noProof/>
          <w:sz w:val="28"/>
          <w:szCs w:val="28"/>
          <w:rtl/>
        </w:rPr>
        <w:t>הפלייתו של האדם המבוגר בתחום התעסוקה באה לידי ביטוי לאורך כל שלביו של הקשר בינו לבין המעסיק או המעסיק הפוטנציאלי, החל משלב הקבלה לעבודה</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דרך קביעת תנאי העבודה ואפשרויות קידום מוגבלות</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 xml:space="preserve">ועד השלב של סיום ההעסקה </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b/>
          <w:bCs/>
          <w:noProof/>
          <w:sz w:val="28"/>
          <w:szCs w:val="28"/>
          <w:rtl/>
        </w:rPr>
        <w:t>כמאיץ לפיטורי העובד או להוצאתו לגמלאות</w:t>
      </w:r>
      <w:r w:rsidRPr="008D4727">
        <w:rPr>
          <w:rFonts w:ascii="Times New Roman" w:eastAsia="Times New Roman" w:hAnsi="Times New Roman" w:cs="David" w:hint="cs"/>
          <w:b/>
          <w:bCs/>
          <w:noProof/>
          <w:sz w:val="28"/>
          <w:szCs w:val="28"/>
          <w:rtl/>
        </w:rPr>
        <w:t>'..."</w:t>
      </w:r>
      <w:r w:rsidRPr="008D4727">
        <w:rPr>
          <w:rFonts w:ascii="Times New Roman" w:eastAsia="Times New Roman" w:hAnsi="Times New Roman" w:cs="David" w:hint="cs"/>
          <w:noProof/>
          <w:sz w:val="24"/>
          <w:szCs w:val="24"/>
          <w:rtl/>
        </w:rPr>
        <w:t xml:space="preserve">. </w:t>
      </w:r>
    </w:p>
    <w:p w:rsidR="008D4727" w:rsidRPr="008D4727" w:rsidRDefault="008D4727" w:rsidP="008D4727">
      <w:pPr>
        <w:spacing w:after="0" w:line="360" w:lineRule="auto"/>
        <w:ind w:left="850" w:right="709"/>
        <w:contextualSpacing/>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 xml:space="preserve">[ההדגשות במקור. </w:t>
      </w:r>
      <w:hyperlink r:id="rId24" w:history="1">
        <w:r w:rsidRPr="008D4727">
          <w:rPr>
            <w:rFonts w:ascii="Times New Roman" w:eastAsia="Times New Roman" w:hAnsi="Times New Roman" w:cs="David"/>
            <w:noProof/>
            <w:color w:val="0000FF"/>
            <w:sz w:val="28"/>
            <w:szCs w:val="28"/>
            <w:u w:val="single"/>
            <w:rtl/>
          </w:rPr>
          <w:t>ע"ע 209/10</w:t>
        </w:r>
      </w:hyperlink>
      <w:r w:rsidRPr="008D4727">
        <w:rPr>
          <w:rFonts w:ascii="Times New Roman" w:eastAsia="Times New Roman" w:hAnsi="Times New Roman" w:cs="David" w:hint="cs"/>
          <w:noProof/>
          <w:sz w:val="28"/>
          <w:szCs w:val="28"/>
          <w:rtl/>
        </w:rPr>
        <w:t xml:space="preserve"> </w:t>
      </w:r>
      <w:r w:rsidRPr="008D4727">
        <w:rPr>
          <w:rFonts w:ascii="Times New Roman" w:eastAsia="Times New Roman" w:hAnsi="Times New Roman" w:cs="David" w:hint="cs"/>
          <w:b/>
          <w:bCs/>
          <w:noProof/>
          <w:sz w:val="28"/>
          <w:szCs w:val="28"/>
          <w:rtl/>
        </w:rPr>
        <w:t xml:space="preserve">ויינברגר </w:t>
      </w:r>
      <w:r w:rsidRPr="008D4727">
        <w:rPr>
          <w:rFonts w:ascii="Times New Roman" w:eastAsia="Times New Roman" w:hAnsi="Times New Roman" w:cs="David"/>
          <w:b/>
          <w:bCs/>
          <w:noProof/>
          <w:sz w:val="28"/>
          <w:szCs w:val="28"/>
          <w:rtl/>
        </w:rPr>
        <w:t>–</w:t>
      </w:r>
      <w:r w:rsidRPr="008D4727">
        <w:rPr>
          <w:rFonts w:ascii="Times New Roman" w:eastAsia="Times New Roman" w:hAnsi="Times New Roman" w:cs="David" w:hint="cs"/>
          <w:b/>
          <w:bCs/>
          <w:noProof/>
          <w:sz w:val="28"/>
          <w:szCs w:val="28"/>
          <w:rtl/>
        </w:rPr>
        <w:t xml:space="preserve"> אוניברסיטת בר-אילן</w:t>
      </w:r>
      <w:r w:rsidRPr="008D4727">
        <w:rPr>
          <w:rFonts w:ascii="Times New Roman" w:eastAsia="Times New Roman" w:hAnsi="Times New Roman" w:cs="David" w:hint="cs"/>
          <w:noProof/>
          <w:sz w:val="28"/>
          <w:szCs w:val="28"/>
          <w:rtl/>
        </w:rPr>
        <w:t xml:space="preserve">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hint="cs"/>
          <w:noProof/>
          <w:sz w:val="28"/>
          <w:szCs w:val="28"/>
          <w:rtl/>
        </w:rPr>
        <w:t>(06.12.12)]</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בתביעות שעילתן הפליה, מתעורר קושי ראייתי מובנה: התובע עומד מול החלטתו המוגמרת של המעסיק, ואין בידיו להציע ראיות ישירות בדבר השיקולים שעמדו ביסוד ההחלטה. נוכח קושי זה, והואיל והמידע על אודות החלטות המעסיק מצוי מטבע הדברים בידיו, וכדי למנוע הפיכת דבר המחוקק לאות מתה, קבע המחוקק </w:t>
      </w:r>
      <w:hyperlink r:id="rId25" w:history="1">
        <w:r w:rsidRPr="008D4727">
          <w:rPr>
            <w:rFonts w:ascii="Times New Roman" w:eastAsia="Times New Roman" w:hAnsi="Times New Roman" w:cs="David"/>
            <w:noProof/>
            <w:color w:val="0000FF"/>
            <w:sz w:val="28"/>
            <w:szCs w:val="28"/>
            <w:u w:val="single"/>
            <w:rtl/>
          </w:rPr>
          <w:t>בסעיף 9</w:t>
        </w:r>
      </w:hyperlink>
      <w:r w:rsidRPr="008D4727">
        <w:rPr>
          <w:rFonts w:ascii="Times New Roman" w:eastAsia="Times New Roman" w:hAnsi="Times New Roman" w:cs="David"/>
          <w:noProof/>
          <w:sz w:val="28"/>
          <w:szCs w:val="28"/>
          <w:rtl/>
        </w:rPr>
        <w:t xml:space="preserve"> לחוק, הסדר של היפוך נטל ההוכחה: </w:t>
      </w:r>
    </w:p>
    <w:p w:rsidR="008D4727" w:rsidRPr="008D4727" w:rsidRDefault="008D4727" w:rsidP="008D4727">
      <w:pPr>
        <w:widowControl w:val="0"/>
        <w:tabs>
          <w:tab w:val="left" w:pos="624"/>
          <w:tab w:val="left" w:pos="1928"/>
          <w:tab w:val="left" w:pos="2381"/>
          <w:tab w:val="left" w:pos="2835"/>
          <w:tab w:val="right" w:leader="dot" w:pos="6259"/>
        </w:tabs>
        <w:suppressAutoHyphens/>
        <w:autoSpaceDE w:val="0"/>
        <w:autoSpaceDN w:val="0"/>
        <w:spacing w:before="72" w:after="0" w:line="240" w:lineRule="auto"/>
        <w:ind w:left="1425"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"9.</w:t>
      </w:r>
      <w:r w:rsidRPr="008D4727">
        <w:rPr>
          <w:rFonts w:ascii="Times New Roman" w:eastAsia="Times New Roman" w:hAnsi="Times New Roman" w:cs="David"/>
          <w:b/>
          <w:bCs/>
          <w:sz w:val="26"/>
          <w:szCs w:val="26"/>
          <w:rtl/>
          <w:lang w:eastAsia="he-IL"/>
        </w:rPr>
        <w:tab/>
        <w:t>(א)</w:t>
      </w:r>
      <w:r w:rsidRPr="008D4727">
        <w:rPr>
          <w:rFonts w:ascii="Times New Roman" w:eastAsia="Times New Roman" w:hAnsi="Times New Roman" w:cs="David"/>
          <w:b/>
          <w:bCs/>
          <w:sz w:val="26"/>
          <w:szCs w:val="26"/>
          <w:rtl/>
          <w:lang w:eastAsia="he-IL"/>
        </w:rPr>
        <w:tab/>
        <w:t>בתובענה של דורש עבודה או של עובד בשל הפרת הוראות סעיף 2, תהא חובת ההוכחה על המעסיק כי פעל שלא בניגוד להוראות סעיף 2 –</w:t>
      </w:r>
    </w:p>
    <w:p w:rsidR="008D4727" w:rsidRPr="008D4727" w:rsidRDefault="008D4727" w:rsidP="008D4727">
      <w:pPr>
        <w:widowControl w:val="0"/>
        <w:tabs>
          <w:tab w:val="left" w:pos="1928"/>
          <w:tab w:val="left" w:pos="2381"/>
          <w:tab w:val="left" w:pos="2835"/>
          <w:tab w:val="right" w:leader="dot" w:pos="6259"/>
        </w:tabs>
        <w:suppressAutoHyphens/>
        <w:autoSpaceDE w:val="0"/>
        <w:autoSpaceDN w:val="0"/>
        <w:spacing w:before="72" w:after="0" w:line="240" w:lineRule="auto"/>
        <w:ind w:left="1425"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(1)</w:t>
      </w:r>
      <w:r w:rsidRPr="008D4727">
        <w:rPr>
          <w:rFonts w:ascii="Times New Roman" w:eastAsia="Times New Roman" w:hAnsi="Times New Roman" w:cs="David"/>
          <w:b/>
          <w:bCs/>
          <w:sz w:val="26"/>
          <w:szCs w:val="26"/>
          <w:rtl/>
          <w:lang w:eastAsia="he-IL"/>
        </w:rPr>
        <w:tab/>
      </w:r>
      <w:proofErr w:type="spellStart"/>
      <w:r w:rsidRPr="008D4727">
        <w:rPr>
          <w:rFonts w:ascii="Times New Roman" w:eastAsia="Times New Roman" w:hAnsi="Times New Roman" w:cs="David"/>
          <w:b/>
          <w:bCs/>
          <w:sz w:val="26"/>
          <w:szCs w:val="26"/>
          <w:rtl/>
          <w:lang w:eastAsia="he-IL"/>
        </w:rPr>
        <w:t>לענין</w:t>
      </w:r>
      <w:proofErr w:type="spellEnd"/>
      <w:r w:rsidRPr="008D4727">
        <w:rPr>
          <w:rFonts w:ascii="Times New Roman" w:eastAsia="Times New Roman" w:hAnsi="Times New Roman" w:cs="David"/>
          <w:b/>
          <w:bCs/>
          <w:sz w:val="26"/>
          <w:szCs w:val="26"/>
          <w:rtl/>
          <w:lang w:eastAsia="he-IL"/>
        </w:rPr>
        <w:t xml:space="preserve"> קבלה לעבודה, קידום בעבודה, תנאי עבודה, שליחה להכשרה או השתלמות מקצועית, או תשלום פיצויי פיטורים – אם קבע המעסיק לגביהם תנאים או כישורים, ודורש העבודה או העובד, לפי </w:t>
      </w:r>
      <w:proofErr w:type="spellStart"/>
      <w:r w:rsidRPr="008D4727">
        <w:rPr>
          <w:rFonts w:ascii="Times New Roman" w:eastAsia="Times New Roman" w:hAnsi="Times New Roman" w:cs="David"/>
          <w:b/>
          <w:bCs/>
          <w:sz w:val="26"/>
          <w:szCs w:val="26"/>
          <w:rtl/>
          <w:lang w:eastAsia="he-IL"/>
        </w:rPr>
        <w:t>הענין</w:t>
      </w:r>
      <w:proofErr w:type="spellEnd"/>
      <w:r w:rsidRPr="008D4727">
        <w:rPr>
          <w:rFonts w:ascii="Times New Roman" w:eastAsia="Times New Roman" w:hAnsi="Times New Roman" w:cs="David"/>
          <w:b/>
          <w:bCs/>
          <w:sz w:val="26"/>
          <w:szCs w:val="26"/>
          <w:rtl/>
          <w:lang w:eastAsia="he-IL"/>
        </w:rPr>
        <w:t>, הוכיחו כי נתקיימו בהם התנאים או הכישורים האמורים;</w:t>
      </w:r>
    </w:p>
    <w:p w:rsidR="008D4727" w:rsidRPr="008D4727" w:rsidRDefault="008D4727" w:rsidP="008D4727">
      <w:pPr>
        <w:widowControl w:val="0"/>
        <w:tabs>
          <w:tab w:val="left" w:pos="1928"/>
          <w:tab w:val="left" w:pos="2381"/>
          <w:tab w:val="left" w:pos="2835"/>
          <w:tab w:val="right" w:leader="dot" w:pos="6259"/>
        </w:tabs>
        <w:suppressAutoHyphens/>
        <w:autoSpaceDE w:val="0"/>
        <w:autoSpaceDN w:val="0"/>
        <w:spacing w:before="72" w:after="0" w:line="240" w:lineRule="auto"/>
        <w:ind w:left="1425" w:right="1134"/>
        <w:jc w:val="both"/>
        <w:rPr>
          <w:rFonts w:ascii="Times New Roman" w:eastAsia="Times New Roman" w:hAnsi="Times New Roman" w:cs="David"/>
          <w:b/>
          <w:bCs/>
          <w:sz w:val="26"/>
          <w:szCs w:val="26"/>
          <w:rtl/>
          <w:lang w:eastAsia="he-IL"/>
        </w:rPr>
      </w:pPr>
      <w:r w:rsidRPr="008D4727">
        <w:rPr>
          <w:rFonts w:ascii="Times New Roman" w:eastAsia="Times New Roman" w:hAnsi="Times New Roman" w:cs="David"/>
          <w:b/>
          <w:bCs/>
          <w:sz w:val="26"/>
          <w:szCs w:val="26"/>
          <w:rtl/>
          <w:lang w:eastAsia="he-IL"/>
        </w:rPr>
        <w:t>(2)</w:t>
      </w:r>
      <w:r w:rsidRPr="008D4727">
        <w:rPr>
          <w:rFonts w:ascii="Times New Roman" w:eastAsia="Times New Roman" w:hAnsi="Times New Roman" w:cs="David"/>
          <w:b/>
          <w:bCs/>
          <w:sz w:val="26"/>
          <w:szCs w:val="26"/>
          <w:rtl/>
          <w:lang w:eastAsia="he-IL"/>
        </w:rPr>
        <w:tab/>
      </w:r>
      <w:proofErr w:type="spellStart"/>
      <w:r w:rsidRPr="008D4727">
        <w:rPr>
          <w:rFonts w:ascii="Times New Roman" w:eastAsia="Times New Roman" w:hAnsi="Times New Roman" w:cs="David"/>
          <w:b/>
          <w:bCs/>
          <w:sz w:val="26"/>
          <w:szCs w:val="26"/>
          <w:rtl/>
          <w:lang w:eastAsia="he-IL"/>
        </w:rPr>
        <w:t>לענין</w:t>
      </w:r>
      <w:proofErr w:type="spellEnd"/>
      <w:r w:rsidRPr="008D4727">
        <w:rPr>
          <w:rFonts w:ascii="Times New Roman" w:eastAsia="Times New Roman" w:hAnsi="Times New Roman" w:cs="David"/>
          <w:b/>
          <w:bCs/>
          <w:sz w:val="26"/>
          <w:szCs w:val="26"/>
          <w:rtl/>
          <w:lang w:eastAsia="he-IL"/>
        </w:rPr>
        <w:t xml:space="preserve"> פיטורים מהעבודה – אם הוכיח העובד שלא </w:t>
      </w:r>
      <w:proofErr w:type="spellStart"/>
      <w:r w:rsidRPr="008D4727">
        <w:rPr>
          <w:rFonts w:ascii="Times New Roman" w:eastAsia="Times New Roman" w:hAnsi="Times New Roman" w:cs="David"/>
          <w:b/>
          <w:bCs/>
          <w:sz w:val="26"/>
          <w:szCs w:val="26"/>
          <w:rtl/>
          <w:lang w:eastAsia="he-IL"/>
        </w:rPr>
        <w:t>היתה</w:t>
      </w:r>
      <w:proofErr w:type="spellEnd"/>
      <w:r w:rsidRPr="008D4727">
        <w:rPr>
          <w:rFonts w:ascii="Times New Roman" w:eastAsia="Times New Roman" w:hAnsi="Times New Roman" w:cs="David"/>
          <w:b/>
          <w:bCs/>
          <w:sz w:val="26"/>
          <w:szCs w:val="26"/>
          <w:rtl/>
          <w:lang w:eastAsia="he-IL"/>
        </w:rPr>
        <w:t xml:space="preserve"> בהתנהגותו או במעשיו סיבה לפיטוריו."</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התנאים המפורטים </w:t>
      </w:r>
      <w:hyperlink r:id="rId26" w:history="1">
        <w:r w:rsidRPr="008D4727">
          <w:rPr>
            <w:rFonts w:ascii="Times New Roman" w:eastAsia="Times New Roman" w:hAnsi="Times New Roman" w:cs="David"/>
            <w:noProof/>
            <w:color w:val="0000FF"/>
            <w:sz w:val="28"/>
            <w:szCs w:val="28"/>
            <w:u w:val="single"/>
            <w:rtl/>
          </w:rPr>
          <w:t>בסעיף 9</w:t>
        </w:r>
      </w:hyperlink>
      <w:r w:rsidRPr="008D4727">
        <w:rPr>
          <w:rFonts w:ascii="Times New Roman" w:eastAsia="Times New Roman" w:hAnsi="Times New Roman" w:cs="David"/>
          <w:noProof/>
          <w:sz w:val="28"/>
          <w:szCs w:val="28"/>
          <w:rtl/>
        </w:rPr>
        <w:t xml:space="preserve"> הנ"ל,  ואשר בהתקיימם יועבר נטל ההוכחה למעסיק אינם רשימה סגורה. הכלל הוא כי נטל ההוכחה יועבר למעסיק כאשר עלה בידי העובד להציג ראיות לכאורה לכך שמעסיקו נהג כלפיו בהפליה [</w:t>
      </w:r>
      <w:hyperlink r:id="rId27" w:history="1">
        <w:r w:rsidRPr="008D4727">
          <w:rPr>
            <w:rFonts w:ascii="Times New Roman" w:eastAsia="Times New Roman" w:hAnsi="Times New Roman" w:cs="David"/>
            <w:noProof/>
            <w:color w:val="0000FF"/>
            <w:sz w:val="28"/>
            <w:szCs w:val="28"/>
            <w:u w:val="single"/>
            <w:rtl/>
          </w:rPr>
          <w:t>בג"ץ 1758/11</w:t>
        </w:r>
      </w:hyperlink>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b/>
          <w:bCs/>
          <w:noProof/>
          <w:sz w:val="28"/>
          <w:szCs w:val="28"/>
          <w:rtl/>
        </w:rPr>
        <w:t>עניין גורן הנ"ל</w:t>
      </w:r>
      <w:r w:rsidRPr="008D4727">
        <w:rPr>
          <w:rFonts w:ascii="Times New Roman" w:eastAsia="Times New Roman" w:hAnsi="Times New Roman" w:cs="David"/>
          <w:noProof/>
          <w:sz w:val="28"/>
          <w:szCs w:val="28"/>
          <w:rtl/>
        </w:rPr>
        <w:t>, בעמ' 21].</w:t>
      </w:r>
    </w:p>
    <w:p w:rsidR="008D4727" w:rsidRPr="008D4727" w:rsidRDefault="008D4727" w:rsidP="008D4727">
      <w:pPr>
        <w:spacing w:after="120" w:line="360" w:lineRule="auto"/>
        <w:ind w:left="360"/>
        <w:jc w:val="both"/>
        <w:rPr>
          <w:rFonts w:ascii="Times New Roman" w:eastAsia="Times New Roman" w:hAnsi="Times New Roman" w:cs="David"/>
          <w:b/>
          <w:bCs/>
          <w:noProof/>
          <w:sz w:val="28"/>
          <w:szCs w:val="28"/>
          <w:u w:val="single"/>
          <w:rtl/>
        </w:rPr>
      </w:pPr>
      <w:r w:rsidRPr="008D4727">
        <w:rPr>
          <w:rFonts w:ascii="Times New Roman" w:eastAsia="Times New Roman" w:hAnsi="Times New Roman" w:cs="David"/>
          <w:noProof/>
          <w:sz w:val="28"/>
          <w:szCs w:val="28"/>
          <w:rtl/>
        </w:rPr>
        <w:t xml:space="preserve">ככל שהעובד הניח ראיות לכאורה להפליה, יהא על המעסיק להוכיח כי המעשה שביצע אינו בניגוד </w:t>
      </w:r>
      <w:hyperlink r:id="rId28" w:history="1">
        <w:r w:rsidRPr="008D4727">
          <w:rPr>
            <w:rFonts w:ascii="Times New Roman" w:eastAsia="Times New Roman" w:hAnsi="Times New Roman" w:cs="David"/>
            <w:noProof/>
            <w:color w:val="0000FF"/>
            <w:sz w:val="28"/>
            <w:szCs w:val="28"/>
            <w:u w:val="single"/>
            <w:rtl/>
          </w:rPr>
          <w:t>לסעיף 2</w:t>
        </w:r>
      </w:hyperlink>
      <w:r w:rsidRPr="008D4727">
        <w:rPr>
          <w:rFonts w:ascii="Times New Roman" w:eastAsia="Times New Roman" w:hAnsi="Times New Roman" w:cs="David"/>
          <w:noProof/>
          <w:sz w:val="28"/>
          <w:szCs w:val="28"/>
          <w:rtl/>
        </w:rPr>
        <w:t xml:space="preserve"> לחוק; ובמילים אחרות כי התנהגותו אינו מפלה. בין היתר, בידי המעסיק לטעון ולהוכיח כי העובד פוטר על יסוד נימוקים ענייניים בלבד, או כי העובדה ששקל שיקולים אסורים, התחייבה מן הדרישות המהותיות של התפקיד.</w:t>
      </w:r>
    </w:p>
    <w:p w:rsidR="008D4727" w:rsidRPr="008D4727" w:rsidRDefault="008D4727" w:rsidP="008D4727">
      <w:pPr>
        <w:spacing w:after="120" w:line="360" w:lineRule="auto"/>
        <w:ind w:left="360"/>
        <w:jc w:val="both"/>
        <w:rPr>
          <w:rFonts w:ascii="Times New Roman" w:eastAsia="Times New Roman" w:hAnsi="Times New Roman" w:cs="David"/>
          <w:b/>
          <w:bCs/>
          <w:noProof/>
          <w:sz w:val="28"/>
          <w:szCs w:val="28"/>
          <w:u w:val="single"/>
          <w:rtl/>
        </w:rPr>
      </w:pP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b/>
          <w:bCs/>
          <w:noProof/>
          <w:sz w:val="28"/>
          <w:szCs w:val="28"/>
          <w:rtl/>
        </w:rPr>
        <w:t xml:space="preserve">מן הכלל אל הפרט- </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נקדים אחרית דבר לראשיתו ונציין כי התובעת הרימה את הנטל הראשוני להוכיח שההחלטה לפטרה נגועה בהפליה מחמת גיל. משכך, היה על הנתבעת להוכיח כי לא פעלה בניגוד </w:t>
      </w:r>
      <w:hyperlink r:id="rId29" w:history="1">
        <w:r w:rsidRPr="008D4727">
          <w:rPr>
            <w:rFonts w:ascii="Times New Roman" w:eastAsia="Times New Roman" w:hAnsi="Times New Roman" w:cs="David"/>
            <w:noProof/>
            <w:color w:val="0000FF"/>
            <w:sz w:val="28"/>
            <w:szCs w:val="28"/>
            <w:u w:val="single"/>
            <w:rtl/>
          </w:rPr>
          <w:t>לסעיף 2</w:t>
        </w:r>
      </w:hyperlink>
      <w:r w:rsidRPr="008D4727">
        <w:rPr>
          <w:rFonts w:ascii="Times New Roman" w:eastAsia="Times New Roman" w:hAnsi="Times New Roman" w:cs="David"/>
          <w:noProof/>
          <w:sz w:val="28"/>
          <w:szCs w:val="28"/>
          <w:rtl/>
        </w:rPr>
        <w:t xml:space="preserve"> לחוק; הנתבעת לא עמדה בנטל כאמור.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להלן ננמק מסקנתנו זו.</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b/>
          <w:bCs/>
          <w:noProof/>
          <w:sz w:val="28"/>
          <w:szCs w:val="28"/>
          <w:rtl/>
        </w:rPr>
        <w:t>החלטת הפיטורים ועילתה</w:t>
      </w:r>
      <w:r w:rsidRPr="008D4727">
        <w:rPr>
          <w:rFonts w:ascii="Times New Roman" w:eastAsia="Times New Roman" w:hAnsi="Times New Roman" w:cs="David"/>
          <w:noProof/>
          <w:sz w:val="28"/>
          <w:szCs w:val="28"/>
          <w:rtl/>
        </w:rPr>
        <w:t xml:space="preserve"> –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עיון בכתובים מזמן אמת, אינו מלמד על מהות עילת פיטורי התובעת. </w:t>
      </w:r>
      <w:r w:rsidRPr="008D4727">
        <w:rPr>
          <w:rFonts w:ascii="Times New Roman" w:eastAsia="Times New Roman" w:hAnsi="Times New Roman" w:cs="David" w:hint="cs"/>
          <w:noProof/>
          <w:sz w:val="28"/>
          <w:szCs w:val="28"/>
          <w:rtl/>
        </w:rPr>
        <w:t xml:space="preserve">בגדר האמור: </w:t>
      </w:r>
      <w:r w:rsidRPr="008D4727">
        <w:rPr>
          <w:rFonts w:ascii="Times New Roman" w:eastAsia="Times New Roman" w:hAnsi="Times New Roman" w:cs="David"/>
          <w:noProof/>
          <w:sz w:val="28"/>
          <w:szCs w:val="28"/>
          <w:rtl/>
        </w:rPr>
        <w:t>אין חולק כי במכתב הפיטורים, לא פורשה עילת הפיטורים, ולמעשה החלטת הפיטורים כלל לא נומקה.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במסגרת ההליכים דנא, מנסה הנתבעת להציג את החלטת הפיטורים כסדרת תמונות </w:t>
      </w:r>
      <w:r w:rsidRPr="008D4727">
        <w:rPr>
          <w:rFonts w:ascii="Times New Roman" w:eastAsia="Times New Roman" w:hAnsi="Times New Roman" w:cs="David" w:hint="cs"/>
          <w:noProof/>
          <w:sz w:val="28"/>
          <w:szCs w:val="28"/>
          <w:rtl/>
        </w:rPr>
        <w:t>נפרדות זו מזו</w:t>
      </w:r>
      <w:r w:rsidRPr="008D4727">
        <w:rPr>
          <w:rFonts w:ascii="Times New Roman" w:eastAsia="Times New Roman" w:hAnsi="Times New Roman" w:cs="David"/>
          <w:noProof/>
          <w:sz w:val="28"/>
          <w:szCs w:val="28"/>
          <w:rtl/>
        </w:rPr>
        <w:t xml:space="preserve">, בעוד שאנו סבורים כי תיאור זה חוטא למצב העניינים במציאות.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ובמה דברים אמורים?</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הנתבעת טענה כי "נאלצה" לפטר את התובעת מעבודתה באולפנה, בשל סגירת האולפנה. לאחר מכן, וכאילו ללא קשר לפיטוריה, </w:t>
      </w:r>
      <w:r w:rsidRPr="008D4727">
        <w:rPr>
          <w:rFonts w:ascii="Times New Roman" w:eastAsia="Times New Roman" w:hAnsi="Times New Roman" w:cs="David" w:hint="cs"/>
          <w:noProof/>
          <w:sz w:val="28"/>
          <w:szCs w:val="28"/>
          <w:rtl/>
        </w:rPr>
        <w:t>ב</w:t>
      </w:r>
      <w:r w:rsidRPr="008D4727">
        <w:rPr>
          <w:rFonts w:ascii="Times New Roman" w:eastAsia="Times New Roman" w:hAnsi="Times New Roman" w:cs="David"/>
          <w:noProof/>
          <w:sz w:val="28"/>
          <w:szCs w:val="28"/>
          <w:rtl/>
        </w:rPr>
        <w:t xml:space="preserve">מקביל, נעשה ניסיון לקבל את התובעת למרחביה, אולם התובעת נדחתה מטעמים מקצועיים, וכך הציג העד הייזלר את הדברים: </w:t>
      </w:r>
    </w:p>
    <w:p w:rsidR="008D4727" w:rsidRPr="008D4727" w:rsidRDefault="008D4727" w:rsidP="008D4727">
      <w:pPr>
        <w:spacing w:after="120" w:line="360" w:lineRule="auto"/>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"ת. בהליך השימוע היה מוסד שנסגר, מתנהלים שם שני מוסדות, שני מנהלים, באותו קמפוס מתנהלים שתי מוסדות עם שתי תפיסות עולם, הנהלה כפולה, פנימיות נפרדות, כמו שני עולמות. והמוסד ההוא נסגר כולו, טבעי שבן אדם פונה ומחפש עבודה, במוסד אחר אולי רצו אנשים אז נכנסנו אנשים לאולפנה.</w:t>
      </w:r>
    </w:p>
    <w:p w:rsidR="008D4727" w:rsidRPr="008D4727" w:rsidRDefault="008D4727" w:rsidP="008D4727">
      <w:pPr>
        <w:spacing w:after="120" w:line="360" w:lineRule="auto"/>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ש. אתה חושב שאותו עובד, צריך לפנות למעביד או שלמעביד יש אחריות לנסות ולקבל את העובד בחזרה? על מי מוטלת האחריות פה?</w:t>
      </w:r>
    </w:p>
    <w:p w:rsidR="008D4727" w:rsidRPr="008D4727" w:rsidRDefault="008D4727" w:rsidP="008D4727">
      <w:pPr>
        <w:spacing w:after="120" w:line="360" w:lineRule="auto"/>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 xml:space="preserve">ת. לגבי הפיטורים והשימוע, זה נעשה באופן גורף, כי סגרו את המוסד בתור מוסד כמקשה אחת. אחרי זה פנו וניסו כמו במקרה של התובעת, פנו וניסו למצוא לה עבודה. כמו שאמרה ציונה, הרבנית  פנתה."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 xml:space="preserve">בדומה לכך העיד מר ביטון: </w:t>
      </w:r>
      <w:r w:rsidRPr="008D4727">
        <w:rPr>
          <w:rFonts w:ascii="Times New Roman" w:eastAsia="Times New Roman" w:hAnsi="Times New Roman" w:cs="David"/>
          <w:b/>
          <w:bCs/>
          <w:noProof/>
          <w:sz w:val="26"/>
          <w:szCs w:val="26"/>
          <w:rtl/>
        </w:rPr>
        <w:t>"...במקרה נפתח מוסד אחר ללא קשר לסגירה".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כאמור, תיאור זה של המציאות אינו מקובל עלינו. כפי ששנינו לעיל, סגירת האולפנה לא התרחשה בנסיבות שבהן המעסיק חדל להתקיים, ואף אין עסקינן בנסיבות של חיסול תחום פעילות בנתבעת – אלא בשינוי באופי הפעילות באחת מזרועותיה.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מחומר הראיות, אין ספק שההחלטה על הקמת מרחביה – באותו המבנה שבו התנהלה האולפנה -  וההחלטה על סגירת האולפנה התקבלו סימולטנית.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כמו-כן, נמצאנו למדים כי עם פתיחתה של מרחביה, היה צורך לאייש משרת אם בית, והנתבעת פעלה כדי לאיישה.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בנסיבות אלו, ניסיונה של הנתבעת להציג את פני הדברים כך שבראשית התובעת פוטרה, ולאחר מכן היתה </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דורשת עבודה</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 xml:space="preserve">, לא זו בלבד שהוא מלאכותי ולא תואם את המציאות, אלא שהוא חותר תחת תכליתו הברורה של החוק </w:t>
      </w:r>
      <w:r w:rsidRPr="008D4727">
        <w:rPr>
          <w:rFonts w:ascii="Times New Roman" w:eastAsia="Times New Roman" w:hAnsi="Times New Roman" w:cs="David"/>
          <w:b/>
          <w:bCs/>
          <w:noProof/>
          <w:sz w:val="26"/>
          <w:szCs w:val="26"/>
          <w:rtl/>
        </w:rPr>
        <w:t>"למנוע הפליה אסורה של עובד בתחום יחסי העבודה במובן הרחב"</w:t>
      </w:r>
      <w:r w:rsidRPr="008D4727">
        <w:rPr>
          <w:rFonts w:ascii="Times New Roman" w:eastAsia="Times New Roman" w:hAnsi="Times New Roman" w:cs="David"/>
          <w:noProof/>
          <w:sz w:val="28"/>
          <w:szCs w:val="28"/>
          <w:rtl/>
        </w:rPr>
        <w:t xml:space="preserve"> [</w:t>
      </w:r>
      <w:hyperlink r:id="rId30" w:history="1">
        <w:r w:rsidRPr="008D4727">
          <w:rPr>
            <w:rFonts w:ascii="Times New Roman" w:eastAsia="Times New Roman" w:hAnsi="Times New Roman" w:cs="David"/>
            <w:noProof/>
            <w:color w:val="0000FF"/>
            <w:sz w:val="28"/>
            <w:szCs w:val="28"/>
            <w:u w:val="single"/>
            <w:rtl/>
          </w:rPr>
          <w:t>בג"ץ 6051/95 רקנט ואח' – בית הדין הארצי לעבודה ואח' פ"ד נא</w:t>
        </w:r>
      </w:hyperlink>
      <w:r w:rsidRPr="008D4727">
        <w:rPr>
          <w:rFonts w:ascii="Times New Roman" w:eastAsia="Times New Roman" w:hAnsi="Times New Roman" w:cs="David"/>
          <w:noProof/>
          <w:sz w:val="28"/>
          <w:szCs w:val="28"/>
          <w:rtl/>
        </w:rPr>
        <w:t>(3) 289].</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לעמדתנו, מהות החלטת הפיטורים היא זו: הנתבעת החליטה על שינוי מסוים באופי פעילותה באחת מזרועותיה, קרי על סגירת האולפנה ועל פתיחתה של מרחביה, ונדרשה להחליט על גורלה של התובעת, האם ת</w:t>
      </w:r>
      <w:r w:rsidRPr="008D4727">
        <w:rPr>
          <w:rFonts w:ascii="Times New Roman" w:eastAsia="Times New Roman" w:hAnsi="Times New Roman" w:cs="David" w:hint="cs"/>
          <w:noProof/>
          <w:sz w:val="28"/>
          <w:szCs w:val="28"/>
          <w:rtl/>
        </w:rPr>
        <w:t>שאיר אותה</w:t>
      </w:r>
      <w:r w:rsidRPr="008D4727">
        <w:rPr>
          <w:rFonts w:ascii="Times New Roman" w:eastAsia="Times New Roman" w:hAnsi="Times New Roman" w:cs="David"/>
          <w:noProof/>
          <w:sz w:val="28"/>
          <w:szCs w:val="28"/>
          <w:rtl/>
        </w:rPr>
        <w:t xml:space="preserve"> לעבוד בתפקיד אם בית במוסד החדש, או שמא תפטרה.  הנתבעת החליטה – אף מבלי לזמן את התובעת לראיון – שלא לשבץ את התובעת במרחביה, משום שלגישת הראשונה התובעת לא התאימה למשרה. משכך, החליטה על פיטורי התובעת.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ודוק: החלטת הפיטורים כפי שתוארה לעיל, התקבלה על ידי </w:t>
      </w:r>
      <w:r w:rsidRPr="008D4727">
        <w:rPr>
          <w:rFonts w:ascii="Times New Roman" w:eastAsia="Times New Roman" w:hAnsi="Times New Roman" w:cs="David"/>
          <w:b/>
          <w:bCs/>
          <w:noProof/>
          <w:sz w:val="28"/>
          <w:szCs w:val="28"/>
          <w:rtl/>
        </w:rPr>
        <w:t>הנתבעת</w:t>
      </w:r>
      <w:r w:rsidRPr="008D4727">
        <w:rPr>
          <w:rFonts w:ascii="Times New Roman" w:eastAsia="Times New Roman" w:hAnsi="Times New Roman" w:cs="David"/>
          <w:noProof/>
          <w:sz w:val="28"/>
          <w:szCs w:val="28"/>
          <w:rtl/>
        </w:rPr>
        <w:t>, ואין נפקא מינה, כי ה</w:t>
      </w:r>
      <w:r w:rsidRPr="008D4727">
        <w:rPr>
          <w:rFonts w:ascii="Times New Roman" w:eastAsia="Times New Roman" w:hAnsi="Times New Roman" w:cs="David" w:hint="cs"/>
          <w:noProof/>
          <w:sz w:val="28"/>
          <w:szCs w:val="28"/>
          <w:rtl/>
        </w:rPr>
        <w:t>החלטה</w:t>
      </w:r>
      <w:r w:rsidRPr="008D4727">
        <w:rPr>
          <w:rFonts w:ascii="Times New Roman" w:eastAsia="Times New Roman" w:hAnsi="Times New Roman" w:cs="David"/>
          <w:noProof/>
          <w:sz w:val="28"/>
          <w:szCs w:val="28"/>
          <w:rtl/>
        </w:rPr>
        <w:t xml:space="preserve"> הייתה פועל יוצא של החלטות משנה, שהתקבלו על ידי אורגנים שונים של הנתבעת: מר ביטון שהחליט על סגירת האולפנה, וגב' נוטיק שהחליטה על התאמת התובעת לשינוי שהתרחש.</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אמור מעתה: הנתבעת החליטה על פיטורי התובעת, לאור גישתה  שהתובעת לא התאימה לשינוי באופי הפעילות באחת מזרועותיה.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 xml:space="preserve">האם נסיבות העניין מצדיקות היפוך נטל ההוכחה, כאמור </w:t>
      </w:r>
      <w:hyperlink r:id="rId31" w:history="1">
        <w:r w:rsidRPr="008D4727">
          <w:rPr>
            <w:rFonts w:ascii="Times New Roman" w:eastAsia="Times New Roman" w:hAnsi="Times New Roman" w:cs="David"/>
            <w:b/>
            <w:bCs/>
            <w:noProof/>
            <w:color w:val="0000FF"/>
            <w:sz w:val="28"/>
            <w:szCs w:val="28"/>
            <w:u w:val="single"/>
            <w:rtl/>
          </w:rPr>
          <w:t>בסעיף 9</w:t>
        </w:r>
      </w:hyperlink>
      <w:r w:rsidRPr="008D4727">
        <w:rPr>
          <w:rFonts w:ascii="Times New Roman" w:eastAsia="Times New Roman" w:hAnsi="Times New Roman" w:cs="David"/>
          <w:b/>
          <w:bCs/>
          <w:noProof/>
          <w:sz w:val="28"/>
          <w:szCs w:val="28"/>
          <w:rtl/>
        </w:rPr>
        <w:t xml:space="preserve"> לחוק?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 xml:space="preserve">על שאלה זו אנו משיבים בחיוב.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לדעתנו, נסיבות הפיטורים כפי שהוכחו, מבססות מסקנה של הפליה לכאורה, ונדגיש מספר נקודות: </w:t>
      </w:r>
    </w:p>
    <w:p w:rsidR="008D4727" w:rsidRPr="008D4727" w:rsidRDefault="008D4727" w:rsidP="008D4727">
      <w:pPr>
        <w:numPr>
          <w:ilvl w:val="0"/>
          <w:numId w:val="2"/>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ראשית, על פני הדברים, ניכר כי תפקיד אם הבית שמילאה התובעת באולפנה מגלה דמיון רב לתפקיד אם בית במרחביה. ניתן אף לומר שדרישות התפקיד במרחביה מוכלות בדרישות התפקיד שמילאה התובעת באולפנה.</w:t>
      </w:r>
    </w:p>
    <w:p w:rsidR="008D4727" w:rsidRPr="008D4727" w:rsidRDefault="008D4727" w:rsidP="008D4727">
      <w:pPr>
        <w:spacing w:after="120" w:line="360" w:lineRule="auto"/>
        <w:ind w:left="720"/>
        <w:jc w:val="both"/>
        <w:rPr>
          <w:rFonts w:ascii="Times New Roman" w:eastAsia="Times New Roman" w:hAnsi="Times New Roman" w:cs="David"/>
          <w:b/>
          <w:bCs/>
          <w:noProof/>
          <w:sz w:val="28"/>
          <w:szCs w:val="28"/>
        </w:rPr>
      </w:pPr>
      <w:r w:rsidRPr="008D4727">
        <w:rPr>
          <w:rFonts w:ascii="Times New Roman" w:eastAsia="Times New Roman" w:hAnsi="Times New Roman" w:cs="David"/>
          <w:noProof/>
          <w:sz w:val="28"/>
          <w:szCs w:val="28"/>
          <w:rtl/>
        </w:rPr>
        <w:t>בתצהירה, תיארה התובעת את מהות התפקיד שמילאה כאם בית באולפנת הגליל, כך:</w:t>
      </w:r>
      <w:r w:rsidRPr="008D4727">
        <w:rPr>
          <w:rFonts w:ascii="Times New Roman" w:eastAsia="Times New Roman" w:hAnsi="Times New Roman" w:cs="David"/>
          <w:b/>
          <w:bCs/>
          <w:noProof/>
          <w:sz w:val="28"/>
          <w:szCs w:val="28"/>
          <w:rtl/>
        </w:rPr>
        <w:t xml:space="preserve"> </w:t>
      </w:r>
      <w:r w:rsidRPr="008D4727">
        <w:rPr>
          <w:rFonts w:ascii="Times New Roman" w:eastAsia="Times New Roman" w:hAnsi="Times New Roman" w:cs="David"/>
          <w:b/>
          <w:bCs/>
          <w:noProof/>
          <w:sz w:val="26"/>
          <w:szCs w:val="26"/>
          <w:rtl/>
        </w:rPr>
        <w:t xml:space="preserve">"הייתי אחראית על סדר היום של הבנות, ובין היתר על הקמה בבוקר והגעה לארוחות, בדיקה שהבנות מגיעות לביה"ס, עזרה בשיעורים ובלימוד לבחינות, וכן השגחה בשעות אחה"צ והערב." </w:t>
      </w:r>
      <w:r w:rsidRPr="008D4727">
        <w:rPr>
          <w:rFonts w:ascii="Times New Roman" w:eastAsia="Times New Roman" w:hAnsi="Times New Roman" w:cs="David"/>
          <w:noProof/>
          <w:sz w:val="28"/>
          <w:szCs w:val="28"/>
          <w:rtl/>
        </w:rPr>
        <w:t xml:space="preserve">[סעיף 6 לתצהירה]. </w:t>
      </w:r>
    </w:p>
    <w:p w:rsidR="008D4727" w:rsidRPr="008D4727" w:rsidRDefault="008D4727" w:rsidP="008D4727">
      <w:pPr>
        <w:spacing w:after="120" w:line="360" w:lineRule="auto"/>
        <w:ind w:left="720"/>
        <w:jc w:val="both"/>
        <w:rPr>
          <w:rFonts w:ascii="Times New Roman" w:eastAsia="Times New Roman" w:hAnsi="Times New Roman" w:cs="David"/>
          <w:b/>
          <w:bCs/>
          <w:noProof/>
          <w:sz w:val="26"/>
          <w:szCs w:val="26"/>
        </w:rPr>
      </w:pPr>
      <w:r w:rsidRPr="008D4727">
        <w:rPr>
          <w:rFonts w:ascii="Times New Roman" w:eastAsia="Times New Roman" w:hAnsi="Times New Roman" w:cs="David"/>
          <w:noProof/>
          <w:sz w:val="28"/>
          <w:szCs w:val="28"/>
          <w:rtl/>
        </w:rPr>
        <w:t>בנספח ח' לתצהירו של מר הייזלר, תיארה ב"כ הנתבעת את הגדרת תפקיד אם בית במוסד מרחביה</w:t>
      </w:r>
      <w:r w:rsidRPr="008D4727">
        <w:rPr>
          <w:rFonts w:ascii="Times New Roman" w:eastAsia="Times New Roman" w:hAnsi="Times New Roman" w:cs="David"/>
          <w:b/>
          <w:bCs/>
          <w:noProof/>
          <w:sz w:val="28"/>
          <w:szCs w:val="28"/>
          <w:rtl/>
        </w:rPr>
        <w:t xml:space="preserve">, </w:t>
      </w:r>
      <w:r w:rsidRPr="008D4727">
        <w:rPr>
          <w:rFonts w:ascii="Times New Roman" w:eastAsia="Times New Roman" w:hAnsi="Times New Roman" w:cs="David"/>
          <w:noProof/>
          <w:sz w:val="28"/>
          <w:szCs w:val="28"/>
          <w:rtl/>
        </w:rPr>
        <w:t xml:space="preserve">כך: </w:t>
      </w:r>
      <w:r w:rsidRPr="008D4727">
        <w:rPr>
          <w:rFonts w:ascii="Times New Roman" w:eastAsia="Times New Roman" w:hAnsi="Times New Roman" w:cs="David"/>
          <w:b/>
          <w:bCs/>
          <w:noProof/>
          <w:sz w:val="26"/>
          <w:szCs w:val="26"/>
          <w:rtl/>
        </w:rPr>
        <w:t>"במסגרת תפקידה עליה לפקח על: השכמת הבוקר, קבלת ארוחות, נוכחות של תלמידי מרחביה, ניקיון המוסד וטיפול בתלמידות החולות".</w:t>
      </w:r>
    </w:p>
    <w:p w:rsidR="008D4727" w:rsidRPr="008D4727" w:rsidRDefault="008D4727" w:rsidP="008D4727">
      <w:pPr>
        <w:numPr>
          <w:ilvl w:val="0"/>
          <w:numId w:val="2"/>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שנית, אין מחלוקת כי הנתבעת ביקשה לאייש את משרת אם הבית במרחביה, במועדים שבהם שקלה את פיטורי התובעת, ואף לאחר שהחליטה על פיטוריה.</w:t>
      </w:r>
    </w:p>
    <w:p w:rsidR="008D4727" w:rsidRPr="008D4727" w:rsidRDefault="008D4727" w:rsidP="008D4727">
      <w:pPr>
        <w:numPr>
          <w:ilvl w:val="0"/>
          <w:numId w:val="2"/>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שלישית, הוכח כי התובעת מילאה את תפקיד אם הבית באולפנה ללא רבב, ולשביעות רצונה המלא של הנתבעת.</w:t>
      </w:r>
    </w:p>
    <w:p w:rsidR="008D4727" w:rsidRPr="008D4727" w:rsidRDefault="008D4727" w:rsidP="008D4727">
      <w:pPr>
        <w:tabs>
          <w:tab w:val="num" w:pos="720"/>
        </w:tabs>
        <w:spacing w:after="120" w:line="360" w:lineRule="auto"/>
        <w:ind w:left="720"/>
        <w:jc w:val="both"/>
        <w:rPr>
          <w:rFonts w:ascii="Times New Roman" w:eastAsia="Times New Roman" w:hAnsi="Times New Roman" w:cs="David"/>
          <w:b/>
          <w:bCs/>
          <w:noProof/>
          <w:sz w:val="28"/>
          <w:szCs w:val="28"/>
          <w:rtl/>
        </w:rPr>
      </w:pPr>
      <w:r w:rsidRPr="008D4727">
        <w:rPr>
          <w:rFonts w:ascii="Times New Roman" w:eastAsia="Times New Roman" w:hAnsi="Times New Roman" w:cs="David"/>
          <w:noProof/>
          <w:sz w:val="28"/>
          <w:szCs w:val="28"/>
          <w:rtl/>
        </w:rPr>
        <w:t xml:space="preserve">אין חולק שהתובעת הייתה עובדת ותיקה, ועתירת ניסיון: </w:t>
      </w:r>
      <w:r w:rsidRPr="008D4727">
        <w:rPr>
          <w:rFonts w:ascii="Times New Roman" w:eastAsia="Times New Roman" w:hAnsi="Times New Roman" w:cs="David" w:hint="cs"/>
          <w:noProof/>
          <w:sz w:val="28"/>
          <w:szCs w:val="28"/>
          <w:rtl/>
        </w:rPr>
        <w:t xml:space="preserve">בעבודתה </w:t>
      </w:r>
      <w:r w:rsidRPr="008D4727">
        <w:rPr>
          <w:rFonts w:ascii="Times New Roman" w:eastAsia="Times New Roman" w:hAnsi="Times New Roman" w:cs="David"/>
          <w:noProof/>
          <w:sz w:val="28"/>
          <w:szCs w:val="28"/>
          <w:rtl/>
        </w:rPr>
        <w:t>אצל הנתבעת בכלל, ובתפקיד</w:t>
      </w:r>
      <w:r w:rsidRPr="008D4727">
        <w:rPr>
          <w:rFonts w:ascii="Times New Roman" w:eastAsia="Times New Roman" w:hAnsi="Times New Roman" w:cs="David" w:hint="cs"/>
          <w:noProof/>
          <w:sz w:val="28"/>
          <w:szCs w:val="28"/>
          <w:rtl/>
        </w:rPr>
        <w:t>ה</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hint="cs"/>
          <w:noProof/>
          <w:sz w:val="28"/>
          <w:szCs w:val="28"/>
          <w:rtl/>
        </w:rPr>
        <w:t>כ</w:t>
      </w:r>
      <w:r w:rsidRPr="008D4727">
        <w:rPr>
          <w:rFonts w:ascii="Times New Roman" w:eastAsia="Times New Roman" w:hAnsi="Times New Roman" w:cs="David"/>
          <w:noProof/>
          <w:sz w:val="28"/>
          <w:szCs w:val="28"/>
          <w:rtl/>
        </w:rPr>
        <w:t xml:space="preserve">אם בית בפרט.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הנתבעת אישרה כי במשך </w:t>
      </w:r>
      <w:r w:rsidRPr="008D4727">
        <w:rPr>
          <w:rFonts w:ascii="Times New Roman" w:eastAsia="Times New Roman" w:hAnsi="Times New Roman" w:cs="David"/>
          <w:b/>
          <w:bCs/>
          <w:noProof/>
          <w:sz w:val="28"/>
          <w:szCs w:val="28"/>
          <w:rtl/>
        </w:rPr>
        <w:t xml:space="preserve">כל </w:t>
      </w:r>
      <w:r w:rsidRPr="008D4727">
        <w:rPr>
          <w:rFonts w:ascii="Times New Roman" w:eastAsia="Times New Roman" w:hAnsi="Times New Roman" w:cs="David"/>
          <w:noProof/>
          <w:sz w:val="28"/>
          <w:szCs w:val="28"/>
          <w:rtl/>
        </w:rPr>
        <w:t xml:space="preserve">תקופת עבודתה, עבדה התובעת במסירות רבה, ביצעה </w:t>
      </w:r>
      <w:r w:rsidRPr="008D4727">
        <w:rPr>
          <w:rFonts w:ascii="Times New Roman" w:eastAsia="Times New Roman" w:hAnsi="Times New Roman" w:cs="David"/>
          <w:b/>
          <w:bCs/>
          <w:noProof/>
          <w:sz w:val="28"/>
          <w:szCs w:val="28"/>
          <w:rtl/>
        </w:rPr>
        <w:t xml:space="preserve">כל </w:t>
      </w:r>
      <w:r w:rsidRPr="008D4727">
        <w:rPr>
          <w:rFonts w:ascii="Times New Roman" w:eastAsia="Times New Roman" w:hAnsi="Times New Roman" w:cs="David"/>
          <w:noProof/>
          <w:sz w:val="28"/>
          <w:szCs w:val="28"/>
          <w:rtl/>
        </w:rPr>
        <w:t xml:space="preserve">תפקיד ומשימה שהוטלו עליה על הצד הטוב ביותר, היא היתה אהובה על הצוות ועל הבנות עמן עבדה, וקיבלה על תפקודה רק דברי שבח והלל.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הנתבעת הוסיפה וציינה כי רחשה לתובעת הערכה רבה נוכח היותה עובדת מסורה ומקצועית, וכי התובעת ניחנה במידת אנושיות רבה</w:t>
      </w:r>
      <w:r w:rsidRPr="008D4727">
        <w:rPr>
          <w:rFonts w:ascii="Times New Roman" w:eastAsia="Times New Roman" w:hAnsi="Times New Roman" w:cs="David" w:hint="cs"/>
          <w:noProof/>
          <w:sz w:val="28"/>
          <w:szCs w:val="28"/>
          <w:rtl/>
        </w:rPr>
        <w:t>.</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 מסקנות דומות עולות ממכתבי השבח, שנכתבו על ידי מנהלי האולפנה (מר משה, ומר גזבר), ואשר צורפו לתצהיר התובעת.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lastRenderedPageBreak/>
        <w:t>חרף דברי השבח וההלל שהשמיעה הנתבעת על אודות תפקודה התובעת בכתב הגנתה, בעדותו בפנינו מר ביטון "רמז-לא-רמז" לפגמים בתפקוד התובעת, אולם בהמשך העיד כי התלונות שהיו נגד התובעת לא היו קשות ולכן אין צורך לאמרן, ו</w:t>
      </w:r>
      <w:r w:rsidRPr="008D4727">
        <w:rPr>
          <w:rFonts w:ascii="Times New Roman" w:eastAsia="Times New Roman" w:hAnsi="Times New Roman" w:cs="David" w:hint="cs"/>
          <w:noProof/>
          <w:sz w:val="28"/>
          <w:szCs w:val="28"/>
          <w:rtl/>
        </w:rPr>
        <w:t xml:space="preserve">עוד </w:t>
      </w:r>
      <w:r w:rsidRPr="008D4727">
        <w:rPr>
          <w:rFonts w:ascii="Times New Roman" w:eastAsia="Times New Roman" w:hAnsi="Times New Roman" w:cs="David"/>
          <w:noProof/>
          <w:sz w:val="28"/>
          <w:szCs w:val="28"/>
          <w:rtl/>
        </w:rPr>
        <w:t xml:space="preserve">בהמשך הדברים העיד כי </w:t>
      </w:r>
      <w:r w:rsidRPr="008D4727">
        <w:rPr>
          <w:rFonts w:ascii="Times New Roman" w:eastAsia="Times New Roman" w:hAnsi="Times New Roman" w:cs="David"/>
          <w:b/>
          <w:bCs/>
          <w:noProof/>
          <w:sz w:val="26"/>
          <w:szCs w:val="26"/>
          <w:rtl/>
        </w:rPr>
        <w:t>"...אין שום קשר בין הפיטורים שלה לבין ההתנהלות שלה. אמרתי כי עבדה במסירות וביצעה את תפקידה."</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 xml:space="preserve">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עדותו של מר ביטון בהקשר זה הייתה כללית, עמומה ולא עקבית. על כן, אנו מ</w:t>
      </w:r>
      <w:r w:rsidRPr="008D4727">
        <w:rPr>
          <w:rFonts w:ascii="Times New Roman" w:eastAsia="Times New Roman" w:hAnsi="Times New Roman" w:cs="David" w:hint="cs"/>
          <w:noProof/>
          <w:sz w:val="28"/>
          <w:szCs w:val="28"/>
          <w:rtl/>
        </w:rPr>
        <w:t>עדיפים</w:t>
      </w:r>
      <w:r w:rsidRPr="008D4727">
        <w:rPr>
          <w:rFonts w:ascii="Times New Roman" w:eastAsia="Times New Roman" w:hAnsi="Times New Roman" w:cs="David"/>
          <w:noProof/>
          <w:sz w:val="28"/>
          <w:szCs w:val="28"/>
          <w:rtl/>
        </w:rPr>
        <w:t xml:space="preserve"> את גרסת הנתבעת בכתב ההגנה, ממנה עולה כי תפקוד התובעת היה לעילא ולעילא.</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הנה כי כן –</w:t>
      </w:r>
      <w:r w:rsidRPr="008D4727">
        <w:rPr>
          <w:rFonts w:ascii="Times New Roman" w:eastAsia="Times New Roman" w:hAnsi="Times New Roman" w:cs="David"/>
          <w:b/>
          <w:bCs/>
          <w:noProof/>
          <w:sz w:val="28"/>
          <w:szCs w:val="28"/>
          <w:rtl/>
        </w:rPr>
        <w:t xml:space="preserve"> </w:t>
      </w:r>
      <w:r w:rsidRPr="008D4727">
        <w:rPr>
          <w:rFonts w:ascii="Times New Roman" w:eastAsia="Times New Roman" w:hAnsi="Times New Roman" w:cs="David"/>
          <w:noProof/>
          <w:sz w:val="28"/>
          <w:szCs w:val="28"/>
          <w:rtl/>
        </w:rPr>
        <w:t>הוכח כי במועד שבו הוחלט על סגירת האולפנה, הנתבעת ביקשה לאייש משרת אם בית במרחביה, אולם היא החליטה שלא להציב בה את התובעת, והעדיפה את גב' מלכה שהייתה צעירה מן התובעת, אף מבלי שהתובעת זומנה לראיון. כל זאת, חרף העובדה שהתובעת מילאה תפקיד דומה באולפנה, חרף ניסיונה הרב, ועל אף תפקודה הטוב באולפנה.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על כך נוסיף – בבחינת מעבר לדרוש - כי אף לאחר שנבחרה גב' מלכה, הוסיפה הנתבעת וחיפשה מועמדות לתפקיד אם בית (אם בנוסף לגב' מלכה, אם במקומה, ואם לשם החלפתה לחופשה לידה) כאשר לגרסת התובעת שלא נסתרה, נבחרה אישה צעירה חסרת ניסיון, בת 25 שנים.</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נסיבות אלו, כך לעמדתנו, מחלישות את הטענה שהתובעת פוטרה על בסיס שיקולים ענייניים, ויש בהן כדי לבסס מסקנה לכאורית של הפליה,  ולהצדיק היפוך נטל ההוכחה והטלתו על כתפי הנתבעת, מכוח </w:t>
      </w:r>
      <w:hyperlink r:id="rId32" w:history="1">
        <w:r w:rsidRPr="008D4727">
          <w:rPr>
            <w:rFonts w:ascii="Times New Roman" w:eastAsia="Times New Roman" w:hAnsi="Times New Roman" w:cs="David"/>
            <w:noProof/>
            <w:color w:val="0000FF"/>
            <w:sz w:val="28"/>
            <w:szCs w:val="28"/>
            <w:u w:val="single"/>
            <w:rtl/>
          </w:rPr>
          <w:t>סעיף 9</w:t>
        </w:r>
      </w:hyperlink>
      <w:r w:rsidRPr="008D4727">
        <w:rPr>
          <w:rFonts w:ascii="Times New Roman" w:eastAsia="Times New Roman" w:hAnsi="Times New Roman" w:cs="David"/>
          <w:noProof/>
          <w:sz w:val="28"/>
          <w:szCs w:val="28"/>
          <w:rtl/>
        </w:rPr>
        <w:t xml:space="preserve"> לחוק.</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ודוק: היפוך נטל ההוכחה אינו סוף פסוק. היה בידי הנתבעת לפזר את הערפל, לחשוף את שיקוליה בפירוט, להוכיח כי התובעת פוטרה על יסוד שיקולים ענייניים, ולהראות כי מה שנחזה כהפליה לכאורה - איננו הפליה כלל ועיקר.</w:t>
      </w:r>
    </w:p>
    <w:p w:rsidR="008D4727" w:rsidRPr="008D4727" w:rsidRDefault="008D4727" w:rsidP="008D4727">
      <w:pPr>
        <w:spacing w:after="120" w:line="360" w:lineRule="auto"/>
        <w:jc w:val="both"/>
        <w:rPr>
          <w:rFonts w:ascii="Times New Roman" w:eastAsia="Times New Roman" w:hAnsi="Times New Roman" w:cs="David"/>
          <w:noProof/>
          <w:sz w:val="28"/>
          <w:szCs w:val="28"/>
          <w:rtl/>
        </w:rPr>
      </w:pP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 xml:space="preserve">האם הנתבעת הוכיחה כי </w:t>
      </w:r>
      <w:r w:rsidRPr="008D4727">
        <w:rPr>
          <w:rFonts w:ascii="Times New Roman" w:eastAsia="Times New Roman" w:hAnsi="Times New Roman" w:cs="David"/>
          <w:b/>
          <w:bCs/>
          <w:noProof/>
          <w:sz w:val="28"/>
          <w:szCs w:val="28"/>
          <w:u w:val="single"/>
          <w:rtl/>
        </w:rPr>
        <w:t>לא</w:t>
      </w:r>
      <w:r w:rsidRPr="008D4727">
        <w:rPr>
          <w:rFonts w:ascii="Times New Roman" w:eastAsia="Times New Roman" w:hAnsi="Times New Roman" w:cs="David"/>
          <w:b/>
          <w:bCs/>
          <w:noProof/>
          <w:sz w:val="28"/>
          <w:szCs w:val="28"/>
          <w:rtl/>
        </w:rPr>
        <w:t xml:space="preserve"> פעלה </w:t>
      </w:r>
      <w:r w:rsidRPr="008D4727">
        <w:rPr>
          <w:rFonts w:ascii="Times New Roman" w:eastAsia="Times New Roman" w:hAnsi="Times New Roman" w:cs="David"/>
          <w:b/>
          <w:bCs/>
          <w:noProof/>
          <w:sz w:val="28"/>
          <w:szCs w:val="28"/>
          <w:u w:val="single"/>
          <w:rtl/>
        </w:rPr>
        <w:t>בניגוד</w:t>
      </w:r>
      <w:r w:rsidRPr="008D4727">
        <w:rPr>
          <w:rFonts w:ascii="Times New Roman" w:eastAsia="Times New Roman" w:hAnsi="Times New Roman" w:cs="David"/>
          <w:b/>
          <w:bCs/>
          <w:noProof/>
          <w:sz w:val="28"/>
          <w:szCs w:val="28"/>
          <w:rtl/>
        </w:rPr>
        <w:t xml:space="preserve"> </w:t>
      </w:r>
      <w:hyperlink r:id="rId33" w:history="1">
        <w:r w:rsidRPr="008D4727">
          <w:rPr>
            <w:rFonts w:ascii="Times New Roman" w:eastAsia="Times New Roman" w:hAnsi="Times New Roman" w:cs="David"/>
            <w:b/>
            <w:bCs/>
            <w:noProof/>
            <w:color w:val="0000FF"/>
            <w:sz w:val="28"/>
            <w:szCs w:val="28"/>
            <w:u w:val="single"/>
            <w:rtl/>
          </w:rPr>
          <w:t>לסעיף 2</w:t>
        </w:r>
      </w:hyperlink>
      <w:r w:rsidRPr="008D4727">
        <w:rPr>
          <w:rFonts w:ascii="Times New Roman" w:eastAsia="Times New Roman" w:hAnsi="Times New Roman" w:cs="David"/>
          <w:b/>
          <w:bCs/>
          <w:noProof/>
          <w:sz w:val="28"/>
          <w:szCs w:val="28"/>
          <w:rtl/>
        </w:rPr>
        <w:t xml:space="preserve"> לחוק?</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הנתבעת טענה כי התובעת פוטרה מטעמים ענייניים בלבד, וכי גילה לא נשקל בשום פנים ואופן.</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להלן נבחן טענה זו.</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 xml:space="preserve">הנתבעת טענה כי הסמכות להחליט האם לקלוט או לא לקלוט את התובעת במוסד החדש, היתה נתונה </w:t>
      </w:r>
      <w:r w:rsidRPr="008D4727">
        <w:rPr>
          <w:rFonts w:ascii="Times New Roman" w:eastAsia="Times New Roman" w:hAnsi="Times New Roman" w:cs="David"/>
          <w:b/>
          <w:bCs/>
          <w:noProof/>
          <w:sz w:val="28"/>
          <w:szCs w:val="28"/>
          <w:rtl/>
        </w:rPr>
        <w:t>באופן בלעדי</w:t>
      </w:r>
      <w:r w:rsidRPr="008D4727">
        <w:rPr>
          <w:rFonts w:ascii="Times New Roman" w:eastAsia="Times New Roman" w:hAnsi="Times New Roman" w:cs="David"/>
          <w:noProof/>
          <w:sz w:val="28"/>
          <w:szCs w:val="28"/>
          <w:rtl/>
        </w:rPr>
        <w:t xml:space="preserve"> למנהלת המוסד- הגב' נוטיק, וכי ההנהלה הכללית של הנתבעת אינה מתערבת בהחלטות מסוג זה. הנתבעת הוסיפה וטענה, כי גב' נוטיק שקלה את מועמדות התובעת, "בכובד ראש" והחליטה, "על פי שיקול דעתה", "מטעמים מקצועיים גרידא", כי התובעת "איננה מתאימה לגישות החינוכיות של המוסד החדש".</w:t>
      </w:r>
    </w:p>
    <w:p w:rsidR="008D4727" w:rsidRPr="008D4727" w:rsidRDefault="008D4727" w:rsidP="008D4727">
      <w:pPr>
        <w:spacing w:after="120" w:line="360" w:lineRule="auto"/>
        <w:ind w:left="720"/>
        <w:jc w:val="both"/>
        <w:rPr>
          <w:rFonts w:ascii="Times New Roman" w:eastAsia="Times New Roman" w:hAnsi="Times New Roman" w:cs="David"/>
          <w:noProof/>
          <w:sz w:val="26"/>
          <w:szCs w:val="26"/>
        </w:rPr>
      </w:pPr>
      <w:r w:rsidRPr="008D4727">
        <w:rPr>
          <w:rFonts w:ascii="Times New Roman" w:eastAsia="Times New Roman" w:hAnsi="Times New Roman" w:cs="David"/>
          <w:noProof/>
          <w:sz w:val="28"/>
          <w:szCs w:val="28"/>
          <w:rtl/>
        </w:rPr>
        <w:t xml:space="preserve">בכתב הגנתה, התייחסה הנתבעת להחלטתה של גב' נוטיק, שלא לקלוט את התובעת, ולעילותיה של החלטה זו, וכך באו הדברים לידי ביטוי בלשון הנתבעת: </w:t>
      </w:r>
    </w:p>
    <w:p w:rsidR="008D4727" w:rsidRPr="008D4727" w:rsidRDefault="008D4727" w:rsidP="008D4727">
      <w:pPr>
        <w:spacing w:after="120" w:line="360" w:lineRule="auto"/>
        <w:ind w:left="720"/>
        <w:jc w:val="both"/>
        <w:rPr>
          <w:rFonts w:ascii="Times New Roman" w:eastAsia="Times New Roman" w:hAnsi="Times New Roman" w:cs="David"/>
          <w:noProof/>
          <w:sz w:val="26"/>
          <w:szCs w:val="26"/>
          <w:rtl/>
        </w:rPr>
      </w:pPr>
      <w:r w:rsidRPr="008D4727">
        <w:rPr>
          <w:rFonts w:ascii="Times New Roman" w:eastAsia="Times New Roman" w:hAnsi="Times New Roman" w:cs="David"/>
          <w:b/>
          <w:bCs/>
          <w:noProof/>
          <w:sz w:val="26"/>
          <w:szCs w:val="26"/>
          <w:rtl/>
        </w:rPr>
        <w:t>"הנהלת המוסד החדש בחרה לפעול בפרדיגמה חינוכית  בעלת גישות חדשניות להתאמת חומר לימודי תוך הרחבה של אמצעי הלימוד וסביבות הלימוד. כך שמה דגש על יכולתו של מורה לחדש את דרכי  הגישה לתלמידים, לגלות יכולות חשיבה יצירתית ולא סטנדרטית, לחשוב 'מחוץ לקופסא' ולא להיות מקובע בדפוסי עבודה ישנים.  יודגש כי המוסד החדש נועד לאוכלוסייה שונה לחלוטין מהאוכלוסייה אשר למדה באולפנה. אשר על כן, מתוך כלל עובדי האולפנה שפנו והתראיינו לעבודה אצל מנהלת המוסד החדש – התקבלו בודדים בלבד.</w:t>
      </w:r>
    </w:p>
    <w:p w:rsidR="008D4727" w:rsidRPr="008D4727" w:rsidRDefault="008D4727" w:rsidP="008D4727">
      <w:pPr>
        <w:spacing w:after="120" w:line="360" w:lineRule="auto"/>
        <w:ind w:left="720"/>
        <w:jc w:val="both"/>
        <w:rPr>
          <w:rFonts w:ascii="Times New Roman" w:eastAsia="Times New Roman" w:hAnsi="Times New Roman" w:cs="David"/>
          <w:b/>
          <w:bCs/>
          <w:noProof/>
          <w:sz w:val="26"/>
          <w:szCs w:val="26"/>
        </w:rPr>
      </w:pPr>
      <w:r w:rsidRPr="008D4727">
        <w:rPr>
          <w:rFonts w:ascii="Times New Roman" w:eastAsia="Times New Roman" w:hAnsi="Times New Roman" w:cs="David"/>
          <w:b/>
          <w:bCs/>
          <w:noProof/>
          <w:sz w:val="26"/>
          <w:szCs w:val="26"/>
          <w:rtl/>
        </w:rPr>
        <w:t xml:space="preserve">מנהלת המוסד החדש בחנה את מועמדותה של בוחבוט בכובד ראש. על פי שיקול דעתה, סברה שבוחבוט איננה מתאימה לגישות החינוכיות של המוסד החדש, ועל כן לא קיבלה אותה לעבודה." </w:t>
      </w:r>
      <w:r w:rsidRPr="008D4727">
        <w:rPr>
          <w:rFonts w:ascii="Times New Roman" w:eastAsia="Times New Roman" w:hAnsi="Times New Roman" w:cs="David"/>
          <w:noProof/>
          <w:sz w:val="28"/>
          <w:szCs w:val="28"/>
          <w:rtl/>
        </w:rPr>
        <w:t>[סעיפים 17.3, 17.4  לכתב ההגנה]</w:t>
      </w:r>
      <w:r w:rsidRPr="008D4727">
        <w:rPr>
          <w:rFonts w:ascii="Times New Roman" w:eastAsia="Times New Roman" w:hAnsi="Times New Roman" w:cs="David"/>
          <w:b/>
          <w:bCs/>
          <w:noProof/>
          <w:sz w:val="26"/>
          <w:szCs w:val="26"/>
          <w:rtl/>
        </w:rPr>
        <w:t>.</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הנתבעת ביכרה שלא לזמן את גב' נוטיק לעדות, על מנת שתעיד על אודות החלטתה וטעמיה, אלא הסתפקה בעדותם של מר ביטון ומר הייזלר.</w:t>
      </w:r>
    </w:p>
    <w:p w:rsidR="008D4727" w:rsidRPr="008D4727" w:rsidRDefault="008D4727" w:rsidP="008D4727">
      <w:pPr>
        <w:spacing w:after="120" w:line="360" w:lineRule="auto"/>
        <w:ind w:left="720"/>
        <w:jc w:val="both"/>
        <w:rPr>
          <w:rFonts w:ascii="Times New Roman" w:eastAsia="Times New Roman" w:hAnsi="Times New Roman" w:cs="David"/>
          <w:b/>
          <w:bCs/>
          <w:noProof/>
          <w:sz w:val="26"/>
          <w:szCs w:val="26"/>
        </w:rPr>
      </w:pPr>
      <w:r w:rsidRPr="008D4727">
        <w:rPr>
          <w:rFonts w:ascii="Times New Roman" w:eastAsia="Times New Roman" w:hAnsi="Times New Roman" w:cs="David"/>
          <w:noProof/>
          <w:sz w:val="28"/>
          <w:szCs w:val="28"/>
          <w:rtl/>
        </w:rPr>
        <w:t xml:space="preserve">מר הייזלר העיד כי: </w:t>
      </w:r>
      <w:r w:rsidRPr="008D4727">
        <w:rPr>
          <w:rFonts w:ascii="Times New Roman" w:eastAsia="Times New Roman" w:hAnsi="Times New Roman" w:cs="David"/>
          <w:b/>
          <w:bCs/>
          <w:noProof/>
          <w:sz w:val="26"/>
          <w:szCs w:val="26"/>
          <w:rtl/>
        </w:rPr>
        <w:t>"...המוסד החדש, בניהולה של הגב' רחל נוטיק, אשת חינוך מנוסה וותיקה, נועד לקבוצת תלמידים שונה, כאמור,  אשר כללה, בין היתר, גיבוש והתאמה של תכנית לימודים שונה (מזו שהייתה במוסד האולפנה), ובתוך כך גם בחירה של הצוות החינוכי."</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hint="cs"/>
          <w:noProof/>
          <w:sz w:val="28"/>
          <w:szCs w:val="28"/>
          <w:rtl/>
        </w:rPr>
        <w:t>.</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דא עקא שבאשר להחלטתה של גב' נוטיק שלפיה התובעת אינה מתאימה לעבודה במרחביה, ציין מר הייזלר כי ידיעותיו הן מפי השמועה.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מר ביטון העיד כי גב' נוטיק ראיינה את התובעת, אשר מצאה כי התובעת לא מתאימה לעבודה במרחביה. בחקירתו הנגדית נשאל מאלו סיבות נמצאה התובעת לא מתאימה וכך השיב: </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 xml:space="preserve">"ת. חוזר על מה שאמרתי לפני כמה רגעים. אצל הרב גרוסמן יש אוטונומיה מאוד רצינית למנהלים בנושא פדגוגי. מעולם לא חייבנו מנהל </w:t>
      </w:r>
      <w:r w:rsidRPr="008D4727">
        <w:rPr>
          <w:rFonts w:ascii="Times New Roman" w:eastAsia="Times New Roman" w:hAnsi="Times New Roman" w:cs="David"/>
          <w:b/>
          <w:bCs/>
          <w:noProof/>
          <w:sz w:val="26"/>
          <w:szCs w:val="26"/>
          <w:rtl/>
        </w:rPr>
        <w:lastRenderedPageBreak/>
        <w:t xml:space="preserve">לקבל מורה מלבד זה שאנו דואגים שאלה שיש להם זכות עדיפה שעבדו לפני כן גם מבחינה חוקית וגם מבחינה רגשית עדיף על פני הבאים מן החוץ. המנהלת הזו, גב' נוטיק, באה ממוסד מאוד ייחודי, זה מה שהסבירה לי. אני לחצתי אותה לקבל את התובעת, כמו את כל שאר המורות. היא הסבירה לי כי המוסד שלה הוא 'עוף מוזר' והמוסד הזה אחרי שנתיים נסגר אצלנו, יש פתיחות מאוד רחבה אצל התלמידות. יש מכתבים שהמפקחת או תמונות ששלחה לי שהיא כועסת שהחדרים מבולגנים כי למנהלת לא אכפת מכך. התובעת אמרתי מלכתחילה, הקשר ביננו הוא כמעט כמו אם לבנה, אני יודע והיא הסבירה באופן מאוד ברור כי עבדה עם תלמידות עולות חבר העמים, צורך החינוך של ילד שחונך בבית בנוקשות לעומת המוסד שנפתח שטיפל בילדות על סף נשירה, שונה לחלוטין. היא </w:t>
      </w:r>
      <w:r w:rsidRPr="008D4727">
        <w:rPr>
          <w:rFonts w:ascii="Times New Roman" w:eastAsia="Times New Roman" w:hAnsi="Times New Roman" w:cs="David"/>
          <w:b/>
          <w:bCs/>
          <w:noProof/>
          <w:sz w:val="26"/>
          <w:szCs w:val="26"/>
          <w:u w:val="single"/>
          <w:rtl/>
        </w:rPr>
        <w:t>כנראה</w:t>
      </w:r>
      <w:r w:rsidRPr="008D4727">
        <w:rPr>
          <w:rFonts w:ascii="Times New Roman" w:eastAsia="Times New Roman" w:hAnsi="Times New Roman" w:cs="David"/>
          <w:b/>
          <w:bCs/>
          <w:noProof/>
          <w:sz w:val="26"/>
          <w:szCs w:val="26"/>
          <w:rtl/>
        </w:rPr>
        <w:t xml:space="preserve"> לא ראתה ואני לא נכנס לתוך הקרביים, שתתאים למערכת.</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ש. האג'נדה החינוכית היחודית של המנהלת החדשה לא התאימה להתנהלות התובעת.</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ת. לא להתנהלות אלא לשיטת העבודה שלה.</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ש. האם אתה חושב כי לא היה נכון לאפשר לתובעת לו לנסות לראות אם היא מצליחה להסתגל לאג'נדה החינוכית.</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ת. זו שאלה טובה, ילדים זה לא חומר לניסוי. אם היא מגיעה להבנה ברורה שאי אפשר לנסות, הרמתי לה טלפונים מאוד נוקשים, היא אמרה לי שהיא לא יכולה לקבל את התובעת לאור מה שאמרתי.</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ש. האם המנהלת נפגשה עם התובעת.</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ת. עד כמה שידוע לי.</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ש. אבל אינך בטוח.</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ת. לא הייתי שם. המנהלת אמרה לי כי ראיינה אותה ופגשה אותה ולא נמצאה מתאימה לתפקיד.</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ש. הסיבות בגינן היא אמרה לך שאינה מתאימה לתפקיד שהיא לא פתוחה מספיק ונוקשה.</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ת. זה מה שאמרתי קודם.</w:t>
      </w:r>
    </w:p>
    <w:p w:rsidR="008D4727" w:rsidRPr="008D4727" w:rsidRDefault="008D4727" w:rsidP="008D4727">
      <w:pPr>
        <w:spacing w:after="120"/>
        <w:ind w:left="1000" w:right="426"/>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ש. מתי היא נפגשה איתה.</w:t>
      </w:r>
    </w:p>
    <w:p w:rsidR="008D4727" w:rsidRPr="008D4727" w:rsidRDefault="008D4727" w:rsidP="008D4727">
      <w:pPr>
        <w:spacing w:after="120"/>
        <w:ind w:left="1000" w:right="426"/>
        <w:jc w:val="both"/>
        <w:rPr>
          <w:rFonts w:ascii="Times New Roman" w:eastAsia="Times New Roman" w:hAnsi="Times New Roman" w:cs="David"/>
          <w:noProof/>
          <w:sz w:val="28"/>
          <w:szCs w:val="28"/>
          <w:rtl/>
        </w:rPr>
      </w:pPr>
      <w:r w:rsidRPr="008D4727">
        <w:rPr>
          <w:rFonts w:ascii="Times New Roman" w:eastAsia="Times New Roman" w:hAnsi="Times New Roman" w:cs="David"/>
          <w:b/>
          <w:bCs/>
          <w:noProof/>
          <w:sz w:val="26"/>
          <w:szCs w:val="26"/>
          <w:rtl/>
        </w:rPr>
        <w:t xml:space="preserve">ת. לא זוכר פרטים." </w:t>
      </w:r>
      <w:r w:rsidRPr="008D4727">
        <w:rPr>
          <w:rFonts w:ascii="Times New Roman" w:eastAsia="Times New Roman" w:hAnsi="Times New Roman" w:cs="David"/>
          <w:noProof/>
          <w:sz w:val="28"/>
          <w:szCs w:val="28"/>
          <w:rtl/>
        </w:rPr>
        <w:t>[ההדגשות אינן במקור.]</w:t>
      </w:r>
    </w:p>
    <w:p w:rsidR="008D4727" w:rsidRPr="008D4727" w:rsidRDefault="008D4727" w:rsidP="008D4727">
      <w:pPr>
        <w:spacing w:after="120"/>
        <w:ind w:right="426"/>
        <w:jc w:val="both"/>
        <w:rPr>
          <w:rFonts w:ascii="Times New Roman" w:eastAsia="Times New Roman" w:hAnsi="Times New Roman" w:cs="David"/>
          <w:noProof/>
          <w:sz w:val="28"/>
          <w:szCs w:val="28"/>
          <w:rtl/>
        </w:rPr>
      </w:pPr>
    </w:p>
    <w:p w:rsidR="008D4727" w:rsidRPr="008D4727" w:rsidRDefault="008D4727" w:rsidP="008D4727">
      <w:pPr>
        <w:numPr>
          <w:ilvl w:val="1"/>
          <w:numId w:val="1"/>
        </w:numPr>
        <w:spacing w:after="120" w:line="360" w:lineRule="auto"/>
        <w:jc w:val="both"/>
        <w:rPr>
          <w:rFonts w:ascii="Times New Roman" w:eastAsia="Times New Roman" w:hAnsi="Times New Roman" w:cs="David"/>
          <w:b/>
          <w:bCs/>
          <w:noProof/>
          <w:sz w:val="26"/>
          <w:szCs w:val="26"/>
        </w:rPr>
      </w:pPr>
      <w:r w:rsidRPr="008D4727">
        <w:rPr>
          <w:rFonts w:ascii="Times New Roman" w:eastAsia="Times New Roman" w:hAnsi="Times New Roman" w:cs="David"/>
          <w:noProof/>
          <w:sz w:val="28"/>
          <w:szCs w:val="28"/>
          <w:rtl/>
        </w:rPr>
        <w:t>לאחר שבחנו את מכלול חומר הראיות, מסקנתנו היא, כי הנתבעת לא הרימה את הנטל להוכיח כי התובעת פוטרה על יסוד טעמים ענייניים.</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מקובלת עלינו טענתו של מר ביטון שלפיה הסמכות הבלעדית להחליט האם לקלוט את התובעת במרחביה אם לאו, הייתה נתונה לגב' נוטיק. טענה זו הגיונה לצידה, ואין זה מדרכו של בית דין זה להתערב בחלוקת הסמכויות </w:t>
      </w:r>
      <w:r w:rsidRPr="008D4727">
        <w:rPr>
          <w:rFonts w:ascii="Times New Roman" w:eastAsia="Times New Roman" w:hAnsi="Times New Roman" w:cs="David"/>
          <w:noProof/>
          <w:sz w:val="28"/>
          <w:szCs w:val="28"/>
          <w:rtl/>
        </w:rPr>
        <w:lastRenderedPageBreak/>
        <w:t>הפנימית בין בעלי תפקידים ואורגנים של המעסיק. אף מקובלת עלינו הטענה שלפיה גב' נוטיק היא שהחליטה שלא לקלוט את התובעת במרחביה.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הואיל וכך, הרי שלשלם הוכחת עילת הפיטורים היה על הנתבעת לזמן את גב' נוטיק לעדות בפנינו, על מנת שתעיד על החלטתה ושיקוליה מכלי ראשון. לא כל שכן, בשים לב לכך שלא נערך לתובעת שימוע (על כך בהמשך), ובשים לב לכך, שאין בדל תיעוד לגבי הליך הפיטורים, ושהחלטת הפיטורים כלל לא נומקה.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הנתבעת לא עשתה כן, ומחדל זה די בו כדי לקבוע כי עילת הפיטורים לא הוכחה.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מעדותם של מר ביטון ומר הייזלר, לא תוכל הנתבעת להיוושע. שהרי, מי שהחליטה על אי התאמת התובעת, בגדר סמכותה הבלעדית, היא גב' נוטיק. לצד זאת, הרושם הוא כי עדים אלו לא היו מעורים בהחלטתה של גב' נוטיק ובשיקוליה.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לא זו אף זו: עיון בעילות אי ההתאמה שפירטו עדי ההגנה מגלה כי טענותיהם כלליות וסתמיות.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הטענות שלפיהן: מרחביה היתה "עוף מוזר", הייתה בה "אוכלוסיה שונה", "פרדיגמות חינוכיות חדשניות" ו"תוכנית לימודים שונה" והמוסד דרש "צוות בעל כישורים וגישות שונים לחלוטין", וכי התובעת לא התאימה ל"שיטת העבודה" שכן היא הייתה "נוקשה" – הן, בכל הכבוד הראוי, בגדר סיסמאות.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 xml:space="preserve">בגדר האמור לעיל </w:t>
      </w:r>
      <w:r w:rsidRPr="008D4727">
        <w:rPr>
          <w:rFonts w:ascii="Times New Roman" w:eastAsia="Times New Roman" w:hAnsi="Times New Roman" w:cs="David"/>
          <w:noProof/>
          <w:sz w:val="28"/>
          <w:szCs w:val="28"/>
          <w:rtl/>
        </w:rPr>
        <w:t>ומבלי למצות: לא הוכחה השונות והייחודיות של המוסד החדש לרבות מהות הפרדיגמה החינוכית החדשנית; ולא הוברר כיצד ובאיזו מידה השפיעו המאפיינים הייחודיים (שלא הוכחו כדבעי) על דרישות תפקיד אם הבית במרחביה, אשר דומה כי אינו תפקיד הוראה ביסודו, ואשר דרישותיו המוצהרות נחזות להיות דומות ביותר לתפקיד אם הבית באולפנה. ממילא לא הוכח כי התובעת – אשר נחזית לכאורה יותר ממוכשרת  לתפקיד -  נעדרת כישורים מתאימים לדרישות הייחודיות שלא הוכחו.</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ודוק: איננו מקבלים את הטענה שלפיה היה על הנתבעת לאפשר לתובעת לנסות לתפקד כאם בית במרחביה (סעיף 56 לסיכומי התובעת), ומקובלת עלינו טענתו של מר ביטון שלפיה </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ילדים זה לא חומר ניסוי</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 xml:space="preserve">. אולם, היה על </w:t>
      </w:r>
      <w:r w:rsidRPr="008D4727">
        <w:rPr>
          <w:rFonts w:ascii="Times New Roman" w:eastAsia="Times New Roman" w:hAnsi="Times New Roman" w:cs="David"/>
          <w:noProof/>
          <w:sz w:val="28"/>
          <w:szCs w:val="28"/>
          <w:rtl/>
        </w:rPr>
        <w:lastRenderedPageBreak/>
        <w:t>הנתבעת להוכיח מדוע התובעת לא התאימה למרחביה, ולו לתקופת ניסיון – וזאת לא הוכיחה.</w:t>
      </w:r>
    </w:p>
    <w:p w:rsidR="008D4727" w:rsidRPr="008D4727" w:rsidRDefault="008D4727" w:rsidP="008D4727">
      <w:pPr>
        <w:numPr>
          <w:ilvl w:val="1"/>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 xml:space="preserve">בהתייחס לטענת הנתבעת בדבר מדיניותה כלפי העסקת אנשים מבוגרים –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הנתבעת טענה כי נמנים על הצוות החינוכי במרחביה עובדים בגילאים שונים, לרבות בגילה של התובעת. כדי לתמוך בטענה זו, צירף מר הייזלר לתצהירו רשימות של עובדי מרחביה. על יסוד הרשימות מבקשת הנתבעת להסיק כי טענת התובעת שלפיה פוטרה מחמת גילה מופרכת מיסודה.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אין בידנו לקבל היסק זה.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הרישא של הטיעון – קרי: הטענה כי התובעת  מעסיקה אנשים מבוגרים בגילה של התובעת - היא טענה שבעיקר הדברים מתייחסת למימד הקבוצתי של הזכות לשוויון.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דהיינו, הנתבעת טוענת כי באספקלריה קבוצתית-תוצאתית הקבוצה המוגנת (בענייננו: מבוגרים) איננה מקופחת.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דא עקא, שהמימד העיקרי עליו ביקש המחוקק להגן באמצעות חוק שוויון הזדמנויות, הוא דווקא המימד ה</w:t>
      </w:r>
      <w:r w:rsidRPr="008D4727">
        <w:rPr>
          <w:rFonts w:ascii="Times New Roman" w:eastAsia="Times New Roman" w:hAnsi="Times New Roman" w:cs="David"/>
          <w:noProof/>
          <w:sz w:val="28"/>
          <w:szCs w:val="28"/>
          <w:u w:val="single"/>
          <w:rtl/>
        </w:rPr>
        <w:t>אישי</w:t>
      </w:r>
      <w:r w:rsidRPr="008D4727">
        <w:rPr>
          <w:rFonts w:ascii="Times New Roman" w:eastAsia="Times New Roman" w:hAnsi="Times New Roman" w:cs="David"/>
          <w:noProof/>
          <w:sz w:val="28"/>
          <w:szCs w:val="28"/>
          <w:rtl/>
        </w:rPr>
        <w:t xml:space="preserve"> של הזכות לשוויון. קרי: להקנות הגנה </w:t>
      </w:r>
      <w:r w:rsidRPr="008D4727">
        <w:rPr>
          <w:rFonts w:ascii="Times New Roman" w:eastAsia="Times New Roman" w:hAnsi="Times New Roman" w:cs="David"/>
          <w:b/>
          <w:bCs/>
          <w:noProof/>
          <w:sz w:val="28"/>
          <w:szCs w:val="28"/>
          <w:rtl/>
        </w:rPr>
        <w:t xml:space="preserve">לפרט </w:t>
      </w:r>
      <w:r w:rsidRPr="008D4727">
        <w:rPr>
          <w:rFonts w:ascii="Times New Roman" w:eastAsia="Times New Roman" w:hAnsi="Times New Roman" w:cs="David"/>
          <w:noProof/>
          <w:sz w:val="28"/>
          <w:szCs w:val="28"/>
          <w:rtl/>
        </w:rPr>
        <w:t>מפני שקילת שיקולים פסולים-בלתי רלבנטיים בענייננו.</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במקרה דנן, משהוצגו ראיות לכאורה להפליה, היה על הנתבעת "לאחוז את השור בקרניו", ולהראות כי התובעת פוטרה מטעמים ענייניים. טענתה כי "מצבה של הקבוצה המוגנת הוא טוב" –  היא במידה רבה ללכת מסביב לעניין, ומכל מקום אין בה כדי להקנות לנתבעת הגנה מפני אחריות על-פי </w:t>
      </w:r>
      <w:hyperlink r:id="rId34" w:history="1">
        <w:r w:rsidRPr="008D4727">
          <w:rPr>
            <w:rFonts w:ascii="Times New Roman" w:eastAsia="Times New Roman" w:hAnsi="Times New Roman" w:cs="David"/>
            <w:noProof/>
            <w:color w:val="0000FF"/>
            <w:sz w:val="28"/>
            <w:szCs w:val="28"/>
            <w:u w:val="single"/>
            <w:rtl/>
          </w:rPr>
          <w:t>סעיף 2</w:t>
        </w:r>
      </w:hyperlink>
      <w:r w:rsidRPr="008D4727">
        <w:rPr>
          <w:rFonts w:ascii="Times New Roman" w:eastAsia="Times New Roman" w:hAnsi="Times New Roman" w:cs="David"/>
          <w:noProof/>
          <w:sz w:val="28"/>
          <w:szCs w:val="28"/>
          <w:rtl/>
        </w:rPr>
        <w:t xml:space="preserve"> לחוק [ראו גם: </w:t>
      </w:r>
      <w:hyperlink r:id="rId35" w:history="1">
        <w:r w:rsidRPr="008D4727">
          <w:rPr>
            <w:rFonts w:ascii="Times New Roman" w:eastAsia="Times New Roman" w:hAnsi="Times New Roman" w:cs="David"/>
            <w:noProof/>
            <w:color w:val="0000FF"/>
            <w:sz w:val="28"/>
            <w:szCs w:val="28"/>
            <w:u w:val="single"/>
            <w:rtl/>
          </w:rPr>
          <w:t>ע"ע 627/06</w:t>
        </w:r>
      </w:hyperlink>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b/>
          <w:bCs/>
          <w:noProof/>
          <w:sz w:val="28"/>
          <w:szCs w:val="28"/>
          <w:rtl/>
        </w:rPr>
        <w:t>מורי – מ.ד.פ ילו</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noProof/>
          <w:sz w:val="28"/>
          <w:szCs w:val="28"/>
          <w:rtl/>
        </w:rPr>
        <w:t xml:space="preserve">(16.03.08), בסעיף 51 לפסק דינה של השופטת וירט ליבנה; </w:t>
      </w:r>
      <w:hyperlink r:id="rId36" w:history="1">
        <w:r w:rsidRPr="008D4727">
          <w:rPr>
            <w:rFonts w:ascii="Times New Roman" w:eastAsia="Times New Roman" w:hAnsi="Times New Roman" w:cs="David"/>
            <w:noProof/>
            <w:color w:val="0000FF"/>
            <w:sz w:val="28"/>
            <w:szCs w:val="28"/>
            <w:u w:val="single"/>
            <w:rtl/>
          </w:rPr>
          <w:t>דב"ע נו/129-3</w:t>
        </w:r>
      </w:hyperlink>
      <w:r w:rsidRPr="008D4727">
        <w:rPr>
          <w:rFonts w:ascii="Times New Roman" w:eastAsia="Times New Roman" w:hAnsi="Times New Roman" w:cs="David"/>
          <w:b/>
          <w:bCs/>
          <w:noProof/>
          <w:sz w:val="28"/>
          <w:szCs w:val="28"/>
          <w:rtl/>
        </w:rPr>
        <w:t xml:space="preserve"> פלוטקין ואח' – אחים אייזנברג</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noProof/>
          <w:sz w:val="28"/>
          <w:szCs w:val="28"/>
          <w:rtl/>
        </w:rPr>
        <w:t>פד"ע כרך לג (1999), בעמ' 494-495].</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הוא הדין אשר לטענתה הכללית של הנתבעת שלפיה, מתוך כלל עובדי האולפנה רק מעטים התקבלו לעבודה במרחביה, שאף היא אינה מתייחסת להליך קבלת ההחלטות בעניינה של התובעת, ולא מצאנו כי יש בה כדי להקנות לנתבעת הגנה מפני אחריות כאמור.</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בהתייחס לטענות הנתבעת שלפיהן: היא עשתה מאמצים למצוא לתובעת עבודה באחד ממוסדותיה החינוכיים; וכי הצעתה לתובעת לעבוד כמטפלת במעון ילדים, שומטת את הקרקע מתחת לטענת ההפליה –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 xml:space="preserve">נציין כי טענות אלו עשויות, בנסיבות מסויימות, להצביע על </w:t>
      </w:r>
      <w:r w:rsidRPr="008D4727">
        <w:rPr>
          <w:rFonts w:ascii="Times New Roman" w:eastAsia="Times New Roman" w:hAnsi="Times New Roman" w:cs="David"/>
          <w:b/>
          <w:bCs/>
          <w:noProof/>
          <w:sz w:val="28"/>
          <w:szCs w:val="28"/>
          <w:rtl/>
        </w:rPr>
        <w:t xml:space="preserve">מידתיות </w:t>
      </w:r>
      <w:r w:rsidRPr="008D4727">
        <w:rPr>
          <w:rFonts w:ascii="Times New Roman" w:eastAsia="Times New Roman" w:hAnsi="Times New Roman" w:cs="David"/>
          <w:noProof/>
          <w:sz w:val="28"/>
          <w:szCs w:val="28"/>
          <w:rtl/>
        </w:rPr>
        <w:t>ההחלטה בשים לב ל</w:t>
      </w:r>
      <w:r w:rsidRPr="008D4727">
        <w:rPr>
          <w:rFonts w:ascii="Times New Roman" w:eastAsia="Times New Roman" w:hAnsi="Times New Roman" w:cs="David"/>
          <w:b/>
          <w:bCs/>
          <w:noProof/>
          <w:sz w:val="28"/>
          <w:szCs w:val="28"/>
          <w:rtl/>
        </w:rPr>
        <w:t>אמצעי</w:t>
      </w:r>
      <w:r w:rsidRPr="008D4727">
        <w:rPr>
          <w:rFonts w:ascii="Times New Roman" w:eastAsia="Times New Roman" w:hAnsi="Times New Roman" w:cs="David"/>
          <w:noProof/>
          <w:sz w:val="28"/>
          <w:szCs w:val="28"/>
          <w:rtl/>
        </w:rPr>
        <w:t xml:space="preserve"> שנבחר (פיטורים), אך לא מצאנו בהן ראיה לכך שלא נשקלו </w:t>
      </w:r>
      <w:r w:rsidRPr="008D4727">
        <w:rPr>
          <w:rFonts w:ascii="Times New Roman" w:eastAsia="Times New Roman" w:hAnsi="Times New Roman" w:cs="David"/>
          <w:b/>
          <w:bCs/>
          <w:noProof/>
          <w:sz w:val="28"/>
          <w:szCs w:val="28"/>
          <w:rtl/>
        </w:rPr>
        <w:t>שיקולים</w:t>
      </w:r>
      <w:r w:rsidRPr="008D4727">
        <w:rPr>
          <w:rFonts w:ascii="Times New Roman" w:eastAsia="Times New Roman" w:hAnsi="Times New Roman" w:cs="David"/>
          <w:noProof/>
          <w:sz w:val="28"/>
          <w:szCs w:val="28"/>
          <w:rtl/>
        </w:rPr>
        <w:t xml:space="preserve"> פסולים.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b/>
          <w:bCs/>
          <w:noProof/>
          <w:sz w:val="28"/>
          <w:szCs w:val="28"/>
          <w:rtl/>
        </w:rPr>
        <w:t>בסיכום הדברים</w:t>
      </w:r>
      <w:r w:rsidRPr="008D4727">
        <w:rPr>
          <w:rFonts w:ascii="Times New Roman" w:eastAsia="Times New Roman" w:hAnsi="Times New Roman" w:cs="David"/>
          <w:noProof/>
          <w:sz w:val="28"/>
          <w:szCs w:val="28"/>
          <w:rtl/>
        </w:rPr>
        <w:t xml:space="preserve">: הנתבעת לא הרימה את הנטל להוכיח כי לא פעלה בניגוד </w:t>
      </w:r>
      <w:hyperlink r:id="rId37" w:history="1">
        <w:r w:rsidRPr="008D4727">
          <w:rPr>
            <w:rFonts w:ascii="Times New Roman" w:eastAsia="Times New Roman" w:hAnsi="Times New Roman" w:cs="David"/>
            <w:noProof/>
            <w:color w:val="0000FF"/>
            <w:sz w:val="28"/>
            <w:szCs w:val="28"/>
            <w:u w:val="single"/>
            <w:rtl/>
          </w:rPr>
          <w:t>לסעיף 2</w:t>
        </w:r>
      </w:hyperlink>
      <w:r w:rsidRPr="008D4727">
        <w:rPr>
          <w:rFonts w:ascii="Times New Roman" w:eastAsia="Times New Roman" w:hAnsi="Times New Roman" w:cs="David"/>
          <w:noProof/>
          <w:sz w:val="28"/>
          <w:szCs w:val="28"/>
          <w:rtl/>
        </w:rPr>
        <w:t xml:space="preserve"> לחוק. המסקנה הנובעת מכך היא, שהתובעת פוטרה שלא כדין, תוך הפלייתה מחמת גילה, בניגוד </w:t>
      </w:r>
      <w:hyperlink r:id="rId38" w:history="1">
        <w:r w:rsidRPr="008D4727">
          <w:rPr>
            <w:rFonts w:ascii="Times New Roman" w:eastAsia="Times New Roman" w:hAnsi="Times New Roman" w:cs="David"/>
            <w:noProof/>
            <w:color w:val="0000FF"/>
            <w:sz w:val="28"/>
            <w:szCs w:val="28"/>
            <w:u w:val="single"/>
            <w:rtl/>
          </w:rPr>
          <w:t>לסעיף 2</w:t>
        </w:r>
      </w:hyperlink>
      <w:r w:rsidRPr="008D4727">
        <w:rPr>
          <w:rFonts w:ascii="Times New Roman" w:eastAsia="Times New Roman" w:hAnsi="Times New Roman" w:cs="David"/>
          <w:noProof/>
          <w:sz w:val="28"/>
          <w:szCs w:val="28"/>
          <w:rtl/>
        </w:rPr>
        <w:t xml:space="preserve"> לחוק.</w:t>
      </w:r>
    </w:p>
    <w:p w:rsidR="008D4727" w:rsidRPr="008D4727" w:rsidRDefault="008D4727" w:rsidP="008D4727">
      <w:pPr>
        <w:spacing w:after="120" w:line="360" w:lineRule="auto"/>
        <w:rPr>
          <w:rFonts w:ascii="Times New Roman" w:eastAsia="Times New Roman" w:hAnsi="Times New Roman" w:cs="David"/>
          <w:b/>
          <w:bCs/>
          <w:noProof/>
          <w:sz w:val="28"/>
          <w:szCs w:val="28"/>
          <w:u w:val="single"/>
          <w:rtl/>
        </w:rPr>
      </w:pPr>
    </w:p>
    <w:p w:rsidR="008D4727" w:rsidRPr="008D4727" w:rsidRDefault="008D4727" w:rsidP="008D4727">
      <w:pPr>
        <w:spacing w:after="120" w:line="360" w:lineRule="auto"/>
        <w:rPr>
          <w:rFonts w:ascii="Times New Roman" w:eastAsia="Times New Roman" w:hAnsi="Times New Roman" w:cs="David"/>
          <w:b/>
          <w:bCs/>
          <w:noProof/>
          <w:sz w:val="28"/>
          <w:szCs w:val="28"/>
          <w:u w:val="single"/>
          <w:rtl/>
        </w:rPr>
      </w:pPr>
      <w:r w:rsidRPr="008D4727">
        <w:rPr>
          <w:rFonts w:ascii="Times New Roman" w:eastAsia="Times New Roman" w:hAnsi="Times New Roman" w:cs="David"/>
          <w:b/>
          <w:bCs/>
          <w:noProof/>
          <w:sz w:val="28"/>
          <w:szCs w:val="28"/>
          <w:u w:val="single"/>
          <w:rtl/>
        </w:rPr>
        <w:t>טענת התובעת בדבר פגיעה בזכותה לשימוע</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התובעת טענה כי לא ניתנה לה כל זכות טיעון בטרם התקבלה ההחלטה על פיטוריה. מכאן, טוענת התובעת כי נפל פגם נוסף בפיטוריה, וכי היה בפגם זה כדי להשפילה.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הנתבעת טענה כי ההחלטה על סגירת האולפנה ופיטורי עובדיה, הייתה החלטה "גורפת" ו"בלתי נמנעת". ההחלטה התקבלה והובאה לידיעת כלל עובדי האולפנה, לרבות התובעת, זמן רב לפני פיטוריה.  בנסיבות אלו, כך לשיטת הנתבעת, נערך לתובעת "שימוע קולקטיבי" שהותאם לנסיבות העניין. שכן, ניהול דין ודברים עם התובעת לא היה בו כדי לשנות את החלטת הפיטורים שהייתה – כאמור -  "כורח המציאות".</w:t>
      </w:r>
    </w:p>
    <w:p w:rsidR="008D4727" w:rsidRPr="008D4727" w:rsidRDefault="008D4727" w:rsidP="008D4727">
      <w:pPr>
        <w:spacing w:after="120" w:line="360" w:lineRule="auto"/>
        <w:ind w:left="360"/>
        <w:jc w:val="both"/>
        <w:rPr>
          <w:rFonts w:ascii="Times New Roman" w:eastAsia="Times New Roman" w:hAnsi="Times New Roman" w:cs="David"/>
          <w:b/>
          <w:bCs/>
          <w:noProof/>
          <w:sz w:val="26"/>
          <w:szCs w:val="26"/>
        </w:rPr>
      </w:pPr>
      <w:r w:rsidRPr="008D4727">
        <w:rPr>
          <w:rFonts w:ascii="Times New Roman" w:eastAsia="Times New Roman" w:hAnsi="Times New Roman" w:cs="David"/>
          <w:noProof/>
          <w:sz w:val="28"/>
          <w:szCs w:val="28"/>
          <w:rtl/>
        </w:rPr>
        <w:t>בעדותו בפנינו הודה מר ביטון, כי מעבר לישיבה שנערכה במאי 2011, העובדים לא זומנו לפגישה פרטנית, למעט מי שביקש, כאשר לגבי התובעת ציין כי "אולי" נפגש עמה, אן ציין כי הוא איננו זוכר.</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בהמשך נשאל מר ביטון מדוע לא נערך שימוע מסודר לפני הפיטורים, וכך השיב: </w:t>
      </w:r>
      <w:r w:rsidRPr="008D4727">
        <w:rPr>
          <w:rFonts w:ascii="Times New Roman" w:eastAsia="Times New Roman" w:hAnsi="Times New Roman" w:cs="David"/>
          <w:b/>
          <w:bCs/>
          <w:noProof/>
          <w:sz w:val="26"/>
          <w:szCs w:val="26"/>
          <w:rtl/>
        </w:rPr>
        <w:t xml:space="preserve">"הארגון הזה עורך שימועים בצורה מסודרת. הייעוץ המשפטי שאני קיבלתי כי במקרה הזה היות ומדובר בסגירת מוסד, אין צורך לזמן אחד אחד היות והטיעון הוא אותו טיעון ולא קשור לדיון באותו שימוע, לכן החלטתי לקיימו כך." </w:t>
      </w:r>
    </w:p>
    <w:p w:rsidR="008D4727" w:rsidRPr="008D4727" w:rsidRDefault="008D4727" w:rsidP="008D4727">
      <w:pPr>
        <w:spacing w:after="120" w:line="360" w:lineRule="auto"/>
        <w:ind w:left="360"/>
        <w:jc w:val="both"/>
        <w:rPr>
          <w:rFonts w:ascii="Times New Roman" w:eastAsia="Times New Roman" w:hAnsi="Times New Roman" w:cs="David"/>
          <w:b/>
          <w:bCs/>
          <w:noProof/>
          <w:sz w:val="26"/>
          <w:szCs w:val="26"/>
          <w:rtl/>
        </w:rPr>
      </w:pPr>
      <w:r w:rsidRPr="008D4727">
        <w:rPr>
          <w:rFonts w:ascii="Times New Roman" w:eastAsia="Times New Roman" w:hAnsi="Times New Roman" w:cs="David"/>
          <w:noProof/>
          <w:sz w:val="28"/>
          <w:szCs w:val="28"/>
          <w:rtl/>
        </w:rPr>
        <w:t>הנתבעת טענה בסיכומיה, כי מר ביטון ניהל עם התובעת שיחות אישיות, אשר יש בהן כדי להשיג את תכלית הליך השימוע –  אולם טענה זו לא הוכחה.</w:t>
      </w:r>
    </w:p>
    <w:p w:rsidR="008D4727" w:rsidRPr="008D4727" w:rsidRDefault="008D4727" w:rsidP="008D4727">
      <w:pPr>
        <w:spacing w:after="120" w:line="360" w:lineRule="auto"/>
        <w:ind w:left="360"/>
        <w:jc w:val="both"/>
        <w:rPr>
          <w:rFonts w:ascii="Times New Roman" w:eastAsia="Times New Roman" w:hAnsi="Times New Roman" w:cs="David"/>
          <w:b/>
          <w:bCs/>
          <w:noProof/>
          <w:sz w:val="28"/>
          <w:szCs w:val="28"/>
        </w:rPr>
      </w:pPr>
      <w:r w:rsidRPr="008D4727">
        <w:rPr>
          <w:rFonts w:ascii="Times New Roman" w:eastAsia="Times New Roman" w:hAnsi="Times New Roman" w:cs="David" w:hint="cs"/>
          <w:b/>
          <w:bCs/>
          <w:noProof/>
          <w:sz w:val="28"/>
          <w:szCs w:val="28"/>
          <w:rtl/>
        </w:rPr>
        <w:br/>
      </w:r>
      <w:r w:rsidRPr="008D4727">
        <w:rPr>
          <w:rFonts w:ascii="Times New Roman" w:eastAsia="Times New Roman" w:hAnsi="Times New Roman" w:cs="David"/>
          <w:b/>
          <w:bCs/>
          <w:noProof/>
          <w:sz w:val="28"/>
          <w:szCs w:val="28"/>
          <w:rtl/>
        </w:rPr>
        <w:t xml:space="preserve">אשר לדעתנו – </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למעשה, לא יכולה להיות מחלוקת כי בטרם התקבלה ההחלטה לפטרה, לא נערך לתובעת שימוע כדין.</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 xml:space="preserve">מחומר הראיות למדנו כי: לא הוצגו בפני התובעת הטענות </w:t>
      </w:r>
      <w:r w:rsidRPr="008D4727">
        <w:rPr>
          <w:rFonts w:ascii="Times New Roman" w:eastAsia="Times New Roman" w:hAnsi="Times New Roman" w:cs="David"/>
          <w:b/>
          <w:bCs/>
          <w:noProof/>
          <w:sz w:val="28"/>
          <w:szCs w:val="28"/>
          <w:rtl/>
        </w:rPr>
        <w:t>נגדה</w:t>
      </w:r>
      <w:r w:rsidRPr="008D4727">
        <w:rPr>
          <w:rFonts w:ascii="Times New Roman" w:eastAsia="Times New Roman" w:hAnsi="Times New Roman" w:cs="David"/>
          <w:noProof/>
          <w:sz w:val="28"/>
          <w:szCs w:val="28"/>
          <w:rtl/>
        </w:rPr>
        <w:t xml:space="preserve"> שביסוד פיטוריה, לא ניתנה לה שהות ללמדן, היא לא הוזמנה לשיחה אישית, וממילא נמענה ממנה האפשרות להיות מיוצגת באותה פגישה, ולא ניתנה להזדמנות לסתור את הטענות, ולשכנע את הנתבעת לשנות את עמדתה, הליך השימוע לא תועד, וכיוצא באלו.</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על כך יש להוסיף כי, כפי שעולה ממכתב הפיטורים, החלטת הפיטורים לא נומקה. נציין מייד, כי לאחר למעלה מ-18 שנות עבודה, ראוי היה כי תימסר לתובעת החלטת פיטורים מנומקת, ולא היה מקום להניח כי התובעת מודעת לסיבות בגינן פוטרה.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טיעון הנתבעת שלפיו פיטורי התובעת היו "כורח המציאות", ולכן ניתן היה להסתפק ב"שימוע קולקטיבי" – איננו מקובל עלינו.</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ראשית, לא הוכח שהתובעת נכחה במפגש הקולקטיבי שנערך בחודש מאי 2011, כשם שלא הוכח כי מפגש זה היה בו ולו מקצת המאפיינים הדרושים כדי להגשים את זכות הטיעון.</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שנית, הטענה כי פיטורי התובעת היו "כורח המציאות" אינה עולה בקנה אחד עם המציאות כפי שהשתקפה מחומר הראיות. לדעתנו, אין ספק כי באשר לכוונה לפטר את התובעת היה גם היה מרחב משא ומתן.</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כפי ששנינו לעיל – בסמוך לסגירת האולפנה, הוסיפה המעסיקה להתקיים, ולהפעיל מוסד חינוכי בקמפוס בו התנהלה האולפנה; וההחלטה לפטר את התובעת נסמכה, בין היתר, על מסקנה בדבר אי התאמתה לעבודה במרחביה.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וכך, אילו נערך לתובעת שימוע, היה בידיה</w:t>
      </w:r>
      <w:r w:rsidRPr="008D4727">
        <w:rPr>
          <w:rFonts w:ascii="Times New Roman" w:eastAsia="Times New Roman" w:hAnsi="Times New Roman" w:cs="David" w:hint="cs"/>
          <w:noProof/>
          <w:sz w:val="28"/>
          <w:szCs w:val="28"/>
          <w:rtl/>
        </w:rPr>
        <w:t xml:space="preserve"> סיכוי</w:t>
      </w:r>
      <w:r w:rsidRPr="008D4727">
        <w:rPr>
          <w:rFonts w:ascii="Times New Roman" w:eastAsia="Times New Roman" w:hAnsi="Times New Roman" w:cs="David"/>
          <w:noProof/>
          <w:sz w:val="28"/>
          <w:szCs w:val="28"/>
          <w:rtl/>
        </w:rPr>
        <w:t xml:space="preserve"> לשכנע כי היא מתאימה לעבודה במוסד החדש, או במוסד אחר של הנתבעת.</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הליך שימוע, אשר סופו בהחלטת פיטורים מנומקת, יש בו כדי לגרום למעסיק לחשוב על השיקולים שביסוד הפיטורים ולבחון את תבונתם; כשלצד זאת מתאפשר לעובד להראות למעסיק את "האידך גיסא". כך, גוברים הסיכויים כי המעסיק יקבל החלטה מושכלת עניינית ומידתית, במסגרת הדין; ויינתן משקל הולם להיותו של העובד אדם, לזכותו לכבוד, וליחסי האמון השוררים בינו לבין מעסיקו.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lastRenderedPageBreak/>
        <w:t>בנסיבות שבהן העובד נמנה על חברי קבוצה מוגנת מודגשת חשיבותו של השימוע, ושל חובת ההנמקה. שכן, התעלמות המעסיק מחובות אלו, יוצרת מצע נוח לשרבוב שיקולים פסולים ולחשיבה סטריאוטיפית, שאינה מבוססת עובדות – אף שלא במודע.</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בנסיבות המקרה דנא, הפרת הנתבעת את חובתה לקיים שימוע ולנמק את החלטת הפיטורים, הינם פגמים משמעותיים בהליך הפיטורים, בפרט בשים לב לתקופת עבודתה המשמעותית של התובעת, ולתפקודה הטוב.</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זאת ועוד: להערכתנו, לו נערך לתובעת שימוע כדין, ישנם סיכויים ממשיים כי היה בידיה (או בידי באי כוחה) לשכנע את הנתבעת לשנות את רוע הגזירה.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b/>
          <w:bCs/>
          <w:noProof/>
          <w:sz w:val="28"/>
          <w:szCs w:val="28"/>
          <w:rtl/>
        </w:rPr>
        <w:t>בסיכום הדברים</w:t>
      </w:r>
      <w:r w:rsidRPr="008D4727">
        <w:rPr>
          <w:rFonts w:ascii="Times New Roman" w:eastAsia="Times New Roman" w:hAnsi="Times New Roman" w:cs="David"/>
          <w:noProof/>
          <w:sz w:val="28"/>
          <w:szCs w:val="28"/>
          <w:rtl/>
        </w:rPr>
        <w:t>: פיטורי התובעת אינם כדין, אף משום כך שהנתבעת הפרה את חובתה לערוך לתובעת שימוע כהלכתו עובר לפיטוריה.</w:t>
      </w:r>
    </w:p>
    <w:p w:rsidR="008D4727" w:rsidRPr="008D4727" w:rsidRDefault="008D4727" w:rsidP="008D4727">
      <w:pPr>
        <w:spacing w:after="120" w:line="360" w:lineRule="auto"/>
        <w:ind w:left="360"/>
        <w:jc w:val="both"/>
        <w:rPr>
          <w:rFonts w:ascii="Times New Roman" w:eastAsia="Times New Roman" w:hAnsi="Times New Roman" w:cs="David"/>
          <w:b/>
          <w:bCs/>
          <w:noProof/>
          <w:sz w:val="26"/>
          <w:szCs w:val="26"/>
          <w:rtl/>
        </w:rPr>
      </w:pPr>
    </w:p>
    <w:p w:rsidR="008D4727" w:rsidRPr="008D4727" w:rsidRDefault="008D4727" w:rsidP="008D4727">
      <w:pPr>
        <w:spacing w:after="120" w:line="360" w:lineRule="auto"/>
        <w:rPr>
          <w:rFonts w:ascii="Times New Roman" w:eastAsia="Times New Roman" w:hAnsi="Times New Roman" w:cs="David"/>
          <w:b/>
          <w:bCs/>
          <w:noProof/>
          <w:sz w:val="28"/>
          <w:szCs w:val="28"/>
          <w:u w:val="single"/>
          <w:rtl/>
        </w:rPr>
      </w:pPr>
      <w:r w:rsidRPr="008D4727">
        <w:rPr>
          <w:rFonts w:ascii="Times New Roman" w:eastAsia="Times New Roman" w:hAnsi="Times New Roman" w:cs="David"/>
          <w:b/>
          <w:bCs/>
          <w:noProof/>
          <w:sz w:val="28"/>
          <w:szCs w:val="28"/>
          <w:u w:val="single"/>
          <w:rtl/>
        </w:rPr>
        <w:t>פיטורים שלא כדין - הסעדים</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על יסוד טענתה בדבר פיטוריה שלא כדין, עתרה התובעת לפיצויים מפיצויים שונים: בגין פיטוריה מחמת גיל, עתרה התובעת לפיצוי בשל אובדן השתכרות בסך של 200,000 ₪, וכן לפיצוי ללא הוכחת נזק בסך של 50,000 ₪; כמו-כן, בשל הפרת זכותה לשימוע, עתרה לפיצוי בסך של 104,532 ₪, שהם שווי ערך ל-12 משכורות.</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נאמר מייד כי התקשנו לקבל את טענות התובעת אשר לנזקיה כמות שהן, ונסביר:</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b/>
          <w:bCs/>
          <w:noProof/>
          <w:sz w:val="28"/>
          <w:szCs w:val="28"/>
          <w:rtl/>
        </w:rPr>
        <w:t xml:space="preserve">אשר </w:t>
      </w:r>
      <w:r w:rsidRPr="008D4727">
        <w:rPr>
          <w:rFonts w:ascii="Times New Roman" w:eastAsia="Times New Roman" w:hAnsi="Times New Roman" w:cs="David" w:hint="cs"/>
          <w:b/>
          <w:bCs/>
          <w:noProof/>
          <w:sz w:val="28"/>
          <w:szCs w:val="28"/>
          <w:rtl/>
        </w:rPr>
        <w:t>לטענה בדבר</w:t>
      </w:r>
      <w:r w:rsidRPr="008D4727">
        <w:rPr>
          <w:rFonts w:ascii="Times New Roman" w:eastAsia="Times New Roman" w:hAnsi="Times New Roman" w:cs="David"/>
          <w:b/>
          <w:bCs/>
          <w:noProof/>
          <w:sz w:val="28"/>
          <w:szCs w:val="28"/>
          <w:rtl/>
        </w:rPr>
        <w:t xml:space="preserve"> אובדן השתכרות</w:t>
      </w:r>
      <w:r w:rsidRPr="008D4727">
        <w:rPr>
          <w:rFonts w:ascii="Times New Roman" w:eastAsia="Times New Roman" w:hAnsi="Times New Roman" w:cs="David"/>
          <w:noProof/>
          <w:sz w:val="28"/>
          <w:szCs w:val="28"/>
          <w:rtl/>
        </w:rPr>
        <w:t xml:space="preserve"> – הפיצוי לו עתרה התובעת ב</w:t>
      </w:r>
      <w:r w:rsidRPr="008D4727">
        <w:rPr>
          <w:rFonts w:ascii="Times New Roman" w:eastAsia="Times New Roman" w:hAnsi="Times New Roman" w:cs="David" w:hint="cs"/>
          <w:noProof/>
          <w:sz w:val="28"/>
          <w:szCs w:val="28"/>
          <w:rtl/>
        </w:rPr>
        <w:t>הקשר</w:t>
      </w:r>
      <w:r w:rsidRPr="008D4727">
        <w:rPr>
          <w:rFonts w:ascii="Times New Roman" w:eastAsia="Times New Roman" w:hAnsi="Times New Roman" w:cs="David"/>
          <w:noProof/>
          <w:sz w:val="28"/>
          <w:szCs w:val="28"/>
          <w:rtl/>
        </w:rPr>
        <w:t xml:space="preserve"> זה, משקף טענת אובדן השתכרות למשך כ-29 חודשים; אלא, שחומר הראיות אינו תומך בטענה כי נגרם לתובעת נזק בהיקפים כאלו</w:t>
      </w:r>
      <w:r w:rsidRPr="008D4727">
        <w:rPr>
          <w:rFonts w:ascii="Times New Roman" w:eastAsia="Times New Roman" w:hAnsi="Times New Roman" w:cs="David" w:hint="cs"/>
          <w:noProof/>
          <w:sz w:val="28"/>
          <w:szCs w:val="28"/>
          <w:rtl/>
        </w:rPr>
        <w:t>, שאותו ניתן לייחס לפיטורים.</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התובעת טענה בתצהירה, כי מצבה הנפשי הקשה לאחר הפיטורים, הקשה עליה למצוא עבודה במשך חודשים ארוכים.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 xml:space="preserve">כפי שנפרט בהמשך, אומנם התובעת לא הוכיחה כי הייתה זכאית להודעה מוקדמת כפי שניתנת למורים, קרי: עד סוף מאי. אולם, עבודתה ונסיונה ב-18 </w:t>
      </w:r>
      <w:r w:rsidRPr="008D4727">
        <w:rPr>
          <w:rFonts w:ascii="Times New Roman" w:eastAsia="Times New Roman" w:hAnsi="Times New Roman" w:cs="David" w:hint="cs"/>
          <w:noProof/>
          <w:sz w:val="28"/>
          <w:szCs w:val="28"/>
          <w:rtl/>
        </w:rPr>
        <w:lastRenderedPageBreak/>
        <w:t>השנים האחרונות היו בתפקידים "תומכי הוראה" בסביבה בית-ספרית. משכך,  בעובדה כי פיטורי התובעת נעשו לאלתר ובסמוך לפני פתיחת שנת הלימודים, יש כדי ללמד כי פיטורי התובעת העמידו את התובעת בפני היצע משרות מצומצם יחסית.</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על רקע זה, ו</w:t>
      </w:r>
      <w:r w:rsidRPr="008D4727">
        <w:rPr>
          <w:rFonts w:ascii="Times New Roman" w:eastAsia="Times New Roman" w:hAnsi="Times New Roman" w:cs="David"/>
          <w:noProof/>
          <w:sz w:val="28"/>
          <w:szCs w:val="28"/>
          <w:rtl/>
        </w:rPr>
        <w:t>לאחר שבחנו את מכלול נסיבות העניין</w:t>
      </w:r>
      <w:r w:rsidRPr="008D4727">
        <w:rPr>
          <w:rFonts w:ascii="Times New Roman" w:eastAsia="Times New Roman" w:hAnsi="Times New Roman" w:cs="David" w:hint="cs"/>
          <w:noProof/>
          <w:sz w:val="28"/>
          <w:szCs w:val="28"/>
          <w:rtl/>
        </w:rPr>
        <w:t xml:space="preserve">, לרבות:  גילה של התובעת, החסמים העומדים בפני עובד מבוגר בשוק העבודה המצוי, ההתרשמות החיובית מעדות התובעת, ומועד פליטתה לשוק העבודה </w:t>
      </w:r>
      <w:r w:rsidRPr="008D4727">
        <w:rPr>
          <w:rFonts w:ascii="Times New Roman" w:eastAsia="Times New Roman" w:hAnsi="Times New Roman" w:cs="David"/>
          <w:noProof/>
          <w:sz w:val="28"/>
          <w:szCs w:val="28"/>
          <w:rtl/>
        </w:rPr>
        <w:t>–</w:t>
      </w:r>
      <w:r w:rsidRPr="008D4727">
        <w:rPr>
          <w:rFonts w:ascii="Times New Roman" w:eastAsia="Times New Roman" w:hAnsi="Times New Roman" w:cs="David" w:hint="cs"/>
          <w:noProof/>
          <w:sz w:val="28"/>
          <w:szCs w:val="28"/>
          <w:rtl/>
        </w:rPr>
        <w:t xml:space="preserve"> אין ספק בעינינו כי נגרם לתובעת נזק ממוני בדמות הפסדי השתכרות.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כך, למשל, לא נסתרה הטענה כי בששת החודשים שלאחר פיטוריה שולמו לתובעת דמי אבטלה בסך של 4,000 ₪ לחודש, ומכאן שבחודשים אלו לבדם קטנה הכנסתה בסך של כ-2,969 ₪ בחודש, ובמהלך ששת החודשים בסך של כ-17,814 ₪. על בסיס חומר הראיות ונסיון החיים ניתן להסיק במידת ההסתברות הדרושה כי גם בחודשים שלאחר ששולמו לתובעת דמי האבטלה, לא הצליחה התובעת להשתכר כפי שכרה בנתבעת, אשר משקף ותק של כ-18 שנות עבודה.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יחד עם זאת, כאמור, את טענות הנזק הממוני שהעלתה התובעת מצאנו לקבל באופן חלקי בלבד.</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בעדותה בפנינו, נשאלה התובעת אשר לעבודות שביצעה, ולהכנסותיה בתקופה שלאחר פיטוריה. התובעת, בהגינותה, סיפקה פרטים רבים שלא נזכרו בתצהירה.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כך, היא העידה כי לאחר שפוטרה שולמו לה דמי אבטלה, בסך 4,000 ₪ למשך חצי שנה. לאחר מכן, עסקה התובעת במילוי מקום, בשכר של 40 ₪ לשעה, בעיר בני ברק, לימים בודדים לא קבועים. לאחר שנה</w:t>
      </w:r>
      <w:r w:rsidRPr="008D4727">
        <w:rPr>
          <w:rFonts w:ascii="Times New Roman" w:eastAsia="Times New Roman" w:hAnsi="Times New Roman" w:cs="David" w:hint="cs"/>
          <w:noProof/>
          <w:sz w:val="28"/>
          <w:szCs w:val="28"/>
          <w:rtl/>
        </w:rPr>
        <w:t xml:space="preserve"> </w:t>
      </w:r>
      <w:r w:rsidRPr="008D4727">
        <w:rPr>
          <w:rFonts w:ascii="Times New Roman" w:eastAsia="Times New Roman" w:hAnsi="Times New Roman" w:cs="David"/>
          <w:noProof/>
          <w:sz w:val="28"/>
          <w:szCs w:val="28"/>
          <w:rtl/>
        </w:rPr>
        <w:t>עברה לעפולה, שם עבדה בצהרונים.</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הנה כי כן, אין מחלוקת כי בתקופה שלאחר פיטוריה צמחו לתובעת הכנסות כאלו ואחרות. התובעת לא הציגה ראיות, אשר להכנסותיה אלו, ובנסיבות אלו, אין בידנו לקבוע כי הנזק שנגרם לתובעת הוא כטענתה.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מעבר לכך, התנהגות התובעת מעוררת קושי במישור הקטנת הנזק.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כך, למשל, התובעת העידה כי הוצעה לה עבודה כמנהלת מעון ילדים בפתח- תקווה, והיא התבקשה להתחיל לעבוד ביום 01.09.11; אולם, לטענתה, כיוון שלא הייתה בידיה תשובה סופית אשר להמשך עבודה בנתבעת, נאלצה להודיע למעון כי תהייה לה תשובה עבורם רק לאחר החגים, במהלך חודש אוקטובר </w:t>
      </w:r>
      <w:r w:rsidRPr="008D4727">
        <w:rPr>
          <w:rFonts w:ascii="Times New Roman" w:eastAsia="Times New Roman" w:hAnsi="Times New Roman" w:cs="David"/>
          <w:noProof/>
          <w:sz w:val="28"/>
          <w:szCs w:val="28"/>
          <w:rtl/>
        </w:rPr>
        <w:lastRenderedPageBreak/>
        <w:t>2011. דא עקא, שבעדותה בפנינו אישרה התובעת כי במועד שבו הודיעה למעון כאמור, ידעה כי היא מפוטרת, אך הייתה מבולבלת, וקיוותה שהדברים ישתנו. יחד עם זאת, נעיר כי נוכח הפגמים בהליך הפיטורים, תחושת הבלבול אותה מתארת התובעת אינה מתמיהה.</w:t>
      </w:r>
      <w:r w:rsidRPr="008D4727">
        <w:rPr>
          <w:rFonts w:ascii="Times New Roman" w:eastAsia="Times New Roman" w:hAnsi="Times New Roman" w:cs="David" w:hint="cs"/>
          <w:noProof/>
          <w:sz w:val="28"/>
          <w:szCs w:val="28"/>
          <w:rtl/>
        </w:rPr>
        <w:t xml:space="preserve"> בד בבד, הנתבעת לא הציגה ראיות משכנעות בדבר השכר שהיה משולם לתובעת, אילו קיבלה את העבודה.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בשים לב למחדליה הראייתיים של התובעת ולקשיים במישור הקטנת הנזק, ולאחר ששקלנו את השיקולים הנוגדים אלו מול אלו, באנו לכלל מסקנה כי יש להעמיד את הפיצוי בעד הנזק הממוני על סך של 25,000</w:t>
      </w:r>
      <w:r w:rsidRPr="008D4727">
        <w:rPr>
          <w:rFonts w:ascii="Times New Roman" w:eastAsia="Times New Roman" w:hAnsi="Times New Roman" w:cs="David"/>
          <w:noProof/>
          <w:sz w:val="28"/>
          <w:szCs w:val="28"/>
        </w:rPr>
        <w:t xml:space="preserve"> </w:t>
      </w:r>
      <w:r w:rsidRPr="008D4727">
        <w:rPr>
          <w:rFonts w:ascii="Times New Roman" w:eastAsia="Times New Roman" w:hAnsi="Times New Roman" w:cs="David" w:hint="cs"/>
          <w:noProof/>
          <w:sz w:val="28"/>
          <w:szCs w:val="28"/>
          <w:rtl/>
        </w:rPr>
        <w:t>₪.</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b/>
          <w:bCs/>
          <w:noProof/>
          <w:sz w:val="28"/>
          <w:szCs w:val="28"/>
          <w:rtl/>
        </w:rPr>
        <w:t>אשר לנזק הבלתי ממוני</w:t>
      </w:r>
      <w:r w:rsidRPr="008D4727">
        <w:rPr>
          <w:rFonts w:ascii="Times New Roman" w:eastAsia="Times New Roman" w:hAnsi="Times New Roman" w:cs="David"/>
          <w:noProof/>
          <w:sz w:val="28"/>
          <w:szCs w:val="28"/>
          <w:rtl/>
        </w:rPr>
        <w:t xml:space="preserve"> – אין ספק בעינינו, כי בנסיבות המקרה דנן, בגדרו פוטרה התובעת, לאחר למעלה מ-18 שנות עבודה לשביעות רצון המעסיקה, תוך הפלייתה, ללא מתן זכות טיעון, נגרם לתובעת נזק משמעותי בדמות עוגמת נפש. טענת התובעת כי לאחר פיטוריה הייתה בסערת רגשות במשך חודשים ארוכים, מובנת לנו ומקובלת עלינו. בפרט, בשים לב לעובדה שלא ניתנה לתובעת הזדמנות לעבד את "חווית" פיטוריה במסגרת שימוע הוגן. עוד עלה מחומר הראיות כי נוכח פיטוריה ובסמוך אליהם, עקרה התובעת לגור בבני ברק, ולאחר מכן נאלצה שוב לעקור לעפולה – עובדות אשר אף הן מעידות על נזקיה הבלתי ממוניים של התובעת.</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נוסף על כך, הפרות הנתבעת כורכות עימן פגיעה בערכים חוקתיים מן המעלה הראשונה, בין היתר בזכות לשוויון, ובכללי הצדק הטבעי, אשר יונקים את חיותם מליבת הזכות לכבוד. מכיוון שכך, סבורים אנו כי על הפיצויים שייפסקו לתובעת לשקף אף שיקולים עונשיים [ראו: </w:t>
      </w:r>
      <w:hyperlink r:id="rId39" w:history="1">
        <w:r w:rsidRPr="008D4727">
          <w:rPr>
            <w:rFonts w:ascii="Times New Roman" w:eastAsia="Times New Roman" w:hAnsi="Times New Roman" w:cs="David"/>
            <w:noProof/>
            <w:color w:val="0000FF"/>
            <w:sz w:val="28"/>
            <w:szCs w:val="28"/>
            <w:u w:val="single"/>
            <w:rtl/>
          </w:rPr>
          <w:t>ע"ע 30585-09-12</w:t>
        </w:r>
      </w:hyperlink>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b/>
          <w:bCs/>
          <w:noProof/>
          <w:sz w:val="28"/>
          <w:szCs w:val="28"/>
          <w:rtl/>
        </w:rPr>
        <w:t>חברת יישום פתרונות אנושיים – בוסי</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noProof/>
          <w:sz w:val="28"/>
          <w:szCs w:val="28"/>
          <w:rtl/>
        </w:rPr>
        <w:t xml:space="preserve">(04.08.13); </w:t>
      </w:r>
      <w:hyperlink r:id="rId40" w:history="1">
        <w:r w:rsidRPr="008D4727">
          <w:rPr>
            <w:rFonts w:ascii="Times New Roman" w:eastAsia="Times New Roman" w:hAnsi="Times New Roman" w:cs="David"/>
            <w:noProof/>
            <w:color w:val="0000FF"/>
            <w:sz w:val="28"/>
            <w:szCs w:val="28"/>
            <w:u w:val="single"/>
            <w:rtl/>
          </w:rPr>
          <w:t>ע"ע 573/09</w:t>
        </w:r>
      </w:hyperlink>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b/>
          <w:bCs/>
          <w:noProof/>
          <w:sz w:val="28"/>
          <w:szCs w:val="28"/>
          <w:rtl/>
        </w:rPr>
        <w:t>זידמן - אי סי איי טלקום</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noProof/>
          <w:sz w:val="28"/>
          <w:szCs w:val="28"/>
          <w:rtl/>
        </w:rPr>
        <w:t xml:space="preserve">(16.12.10); </w:t>
      </w:r>
      <w:hyperlink r:id="rId41" w:history="1">
        <w:r w:rsidRPr="008D4727">
          <w:rPr>
            <w:rFonts w:ascii="Times New Roman" w:eastAsia="Times New Roman" w:hAnsi="Times New Roman" w:cs="David"/>
            <w:noProof/>
            <w:color w:val="0000FF"/>
            <w:sz w:val="28"/>
            <w:szCs w:val="28"/>
            <w:u w:val="single"/>
            <w:rtl/>
          </w:rPr>
          <w:t xml:space="preserve">בש"א (ארצי) </w:t>
        </w:r>
      </w:hyperlink>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b/>
          <w:bCs/>
          <w:noProof/>
          <w:sz w:val="28"/>
          <w:szCs w:val="28"/>
          <w:rtl/>
        </w:rPr>
        <w:t xml:space="preserve">אוניבסיטת תל אביב – אלישע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noProof/>
          <w:sz w:val="28"/>
          <w:szCs w:val="28"/>
          <w:rtl/>
        </w:rPr>
        <w:t xml:space="preserve">(27.02.08); </w:t>
      </w:r>
      <w:hyperlink r:id="rId42" w:history="1">
        <w:r w:rsidRPr="008D4727">
          <w:rPr>
            <w:rFonts w:ascii="Times New Roman" w:eastAsia="Times New Roman" w:hAnsi="Times New Roman" w:cs="David"/>
            <w:noProof/>
            <w:color w:val="0000FF"/>
            <w:sz w:val="28"/>
            <w:szCs w:val="28"/>
            <w:u w:val="single"/>
            <w:rtl/>
          </w:rPr>
          <w:t>ע"ע 33680-08-10</w:t>
        </w:r>
      </w:hyperlink>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b/>
          <w:bCs/>
          <w:noProof/>
          <w:sz w:val="28"/>
          <w:szCs w:val="28"/>
          <w:rtl/>
        </w:rPr>
        <w:t>דיזינגוף קלאב – זואילי</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noProof/>
          <w:sz w:val="28"/>
          <w:szCs w:val="28"/>
          <w:rtl/>
        </w:rPr>
        <w:t>(16.11.11)].</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בעניין זואילי הנ"ל, הביא בית הדין בהסכמה מדברי השופטת ברק, באשר לתכלית פסיקת פיצויים עונשיים, לאמור: </w:t>
      </w:r>
    </w:p>
    <w:p w:rsidR="008D4727" w:rsidRPr="008D4727" w:rsidRDefault="008D4727" w:rsidP="008D4727">
      <w:pPr>
        <w:spacing w:after="120" w:line="360" w:lineRule="auto"/>
        <w:ind w:left="858" w:right="851"/>
        <w:jc w:val="both"/>
        <w:rPr>
          <w:rFonts w:ascii="Times New Roman" w:eastAsia="Times New Roman" w:hAnsi="Times New Roman" w:cs="David"/>
          <w:noProof/>
          <w:sz w:val="28"/>
          <w:szCs w:val="28"/>
          <w:rtl/>
        </w:rPr>
      </w:pPr>
      <w:r w:rsidRPr="008D4727">
        <w:rPr>
          <w:rFonts w:ascii="Times New Roman" w:eastAsia="Times New Roman" w:hAnsi="Times New Roman" w:cs="David"/>
          <w:b/>
          <w:bCs/>
          <w:noProof/>
          <w:sz w:val="24"/>
          <w:szCs w:val="24"/>
          <w:rtl/>
        </w:rPr>
        <w:t xml:space="preserve">"'מטרתנו בפסיקת פיצויים היא במקרה זה לחנך את המשיבה ואת ציבור המעבידים כולו על מנת להשיג את המטרה הסופית של התנהגות שאינה </w:t>
      </w:r>
      <w:r w:rsidRPr="008D4727">
        <w:rPr>
          <w:rFonts w:ascii="Times New Roman" w:eastAsia="Times New Roman" w:hAnsi="Times New Roman" w:cs="David"/>
          <w:b/>
          <w:bCs/>
          <w:noProof/>
          <w:sz w:val="24"/>
          <w:szCs w:val="24"/>
          <w:rtl/>
        </w:rPr>
        <w:lastRenderedPageBreak/>
        <w:t>מפלה כנגד פרטים ואינה ניזונה מסטראוטיפים. לשם כך על הפיצויים להיות אפקטיביים. רק כך נוכל להבטיח הגנה משפטית מלאה בפני הפליה המבוססת על סטריאוטיפים... הדרך להרתיע היא בעיניי, הסברה. אך מעבר לכך, ועל מנת להחדיר את הערכים לציבור המעבידים, הדרך היא סנקציה עונשית כואבת...'"</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בהמשך שם, הביא בית הדין מדברי פרופ' פרנסיס רדאי, אשר אף הם רלוונטיים לענייננו:  </w:t>
      </w:r>
    </w:p>
    <w:p w:rsidR="008D4727" w:rsidRPr="008D4727" w:rsidRDefault="008D4727" w:rsidP="008D4727">
      <w:pPr>
        <w:spacing w:after="120" w:line="360" w:lineRule="auto"/>
        <w:ind w:left="858" w:right="851"/>
        <w:jc w:val="both"/>
        <w:rPr>
          <w:rFonts w:ascii="Times New Roman" w:eastAsia="Times New Roman" w:hAnsi="Times New Roman" w:cs="David"/>
          <w:b/>
          <w:bCs/>
          <w:noProof/>
          <w:sz w:val="24"/>
          <w:szCs w:val="24"/>
          <w:rtl/>
        </w:rPr>
      </w:pPr>
      <w:r w:rsidRPr="008D4727">
        <w:rPr>
          <w:rFonts w:ascii="Times New Roman" w:eastAsia="Times New Roman" w:hAnsi="Times New Roman" w:cs="David"/>
          <w:b/>
          <w:bCs/>
          <w:noProof/>
          <w:sz w:val="24"/>
          <w:szCs w:val="24"/>
          <w:rtl/>
        </w:rPr>
        <w:t>"'לעניין ההרתעה, יש חשיבות מוגברת לפסיקת פיצויים משמעותיים לאור הסייגים לתרופת האכיפה בסעיף 10(2). לעניין הפיצוי לקורבן האפליה,מעבר לנזק הממון נובע הנזק מעצם האפליה נגדו, הפוגעת בכבודו כאדם עובד. אם בתי הדין לעבודה לא יפעילו את שיקול דעתם בעניין הפיצויים כדי ליצור הרתעה נגד האפליה, החוק יהפוך לאות מתה, כי ללא הרתעה כלכלית ולאור הסייגים בעניין תרופת האכיפה, לא יהיה סיכוי למנוע מעשי אפליה בשוק העבודה באמצעות ההבטחות של החוק... כדי שיושגו מטרות החוק, צריך לחזק את סעד האכיפה ולהפוך אותו לסעד עיקרי... עם זאת, מתן פיצויים משמעותיים כלכליים ועונשיים גם הוא יכול להפוך את האפליה בניגוד לחוק לבלתי כדאית'".</w:t>
      </w:r>
    </w:p>
    <w:p w:rsidR="008D4727" w:rsidRPr="008D4727" w:rsidRDefault="008D4727" w:rsidP="008D4727">
      <w:pPr>
        <w:spacing w:after="120" w:line="360" w:lineRule="auto"/>
        <w:ind w:left="858" w:right="851"/>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אשר על כן, אנו קובעים כי בגין פיטורי התובעת שלא כדין, תוך הפלייתה והפרת זכות הטיעון, על הנתבעת לפצות את התובעת כדלקמן: בגין אובדן השתכרות, סך של </w:t>
      </w:r>
      <w:r w:rsidRPr="008D4727">
        <w:rPr>
          <w:rFonts w:ascii="Times New Roman" w:eastAsia="Times New Roman" w:hAnsi="Times New Roman" w:cs="David" w:hint="cs"/>
          <w:noProof/>
          <w:sz w:val="28"/>
          <w:szCs w:val="28"/>
          <w:rtl/>
        </w:rPr>
        <w:t xml:space="preserve">25,000 </w:t>
      </w:r>
      <w:r w:rsidRPr="008D4727">
        <w:rPr>
          <w:rFonts w:ascii="Times New Roman" w:eastAsia="Times New Roman" w:hAnsi="Times New Roman" w:cs="David"/>
          <w:noProof/>
          <w:sz w:val="28"/>
          <w:szCs w:val="28"/>
          <w:rtl/>
        </w:rPr>
        <w:t xml:space="preserve">₪; בגין הפרת הוראות </w:t>
      </w:r>
      <w:hyperlink r:id="rId43" w:history="1">
        <w:r w:rsidRPr="008D4727">
          <w:rPr>
            <w:rFonts w:ascii="Times New Roman" w:eastAsia="Times New Roman" w:hAnsi="Times New Roman" w:cs="David"/>
            <w:noProof/>
            <w:color w:val="0000FF"/>
            <w:sz w:val="28"/>
            <w:szCs w:val="28"/>
            <w:u w:val="single"/>
            <w:rtl/>
          </w:rPr>
          <w:t>חוק שוויון הזדמנויות בעבודה</w:t>
        </w:r>
      </w:hyperlink>
      <w:r w:rsidRPr="008D4727">
        <w:rPr>
          <w:rFonts w:ascii="Times New Roman" w:eastAsia="Times New Roman" w:hAnsi="Times New Roman" w:cs="David"/>
          <w:noProof/>
          <w:sz w:val="28"/>
          <w:szCs w:val="28"/>
          <w:rtl/>
        </w:rPr>
        <w:t xml:space="preserve">, סך של 50,000 ש"ח; בגין הפרת זכות התובעת לשימוע, סך של </w:t>
      </w:r>
      <w:r w:rsidRPr="008D4727">
        <w:rPr>
          <w:rFonts w:ascii="Times New Roman" w:eastAsia="Times New Roman" w:hAnsi="Times New Roman" w:cs="David" w:hint="cs"/>
          <w:noProof/>
          <w:sz w:val="28"/>
          <w:szCs w:val="28"/>
          <w:rtl/>
        </w:rPr>
        <w:t xml:space="preserve">21,000 </w:t>
      </w:r>
      <w:r w:rsidRPr="008D4727">
        <w:rPr>
          <w:rFonts w:ascii="Times New Roman" w:eastAsia="Times New Roman" w:hAnsi="Times New Roman" w:cs="David"/>
          <w:noProof/>
          <w:sz w:val="28"/>
          <w:szCs w:val="28"/>
          <w:rtl/>
        </w:rPr>
        <w:t>₪.</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p>
    <w:p w:rsidR="008D4727" w:rsidRPr="008D4727" w:rsidRDefault="008D4727" w:rsidP="008D4727">
      <w:pPr>
        <w:spacing w:after="120" w:line="360" w:lineRule="auto"/>
        <w:rPr>
          <w:rFonts w:ascii="Times New Roman" w:eastAsia="Times New Roman" w:hAnsi="Times New Roman" w:cs="David"/>
          <w:b/>
          <w:bCs/>
          <w:noProof/>
          <w:sz w:val="28"/>
          <w:szCs w:val="28"/>
          <w:u w:val="single"/>
          <w:rtl/>
        </w:rPr>
      </w:pPr>
      <w:r w:rsidRPr="008D4727">
        <w:rPr>
          <w:rFonts w:ascii="Times New Roman" w:eastAsia="Times New Roman" w:hAnsi="Times New Roman" w:cs="David"/>
          <w:b/>
          <w:bCs/>
          <w:noProof/>
          <w:sz w:val="28"/>
          <w:szCs w:val="28"/>
          <w:u w:val="single"/>
          <w:rtl/>
        </w:rPr>
        <w:t>אשר ליתר טענות התובעת</w:t>
      </w: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האם התובעת הייתה זכאית להודעה מוקדמת כבר בחודש מאי 2011?</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התובעת טענה כי פוטרה בתאריך 12.09.11 באופן מיידי, מבלי שניתנה לה הודעה מוקדמת על פיטוריה. לטענתה, לגבי עובדי הוראה ולגבי "עובדים במוסדות הקשורים לשנת לימודים", המועד למתן הודעה מוקדמת הינו עד 31 למאי, ומשהמעסיק מפטר את העובד לאחר מועד זה, עליו לשלם לעובד שכר של שנה, באשר עובד כזה לא יכול למצוא עבודה לאחר שהחלה שנת הלימודים.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lastRenderedPageBreak/>
        <w:t>משכך, עתרה התובעת לפיצוי בגובה שכר של שנה בתוספת ריבית והצמדה, בסך של 106,145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דין טענות התובעת להידחות ברובן.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התובעת לא עמדה בנטל להוכיח מקור נורמטיבי, המקנה לה זכות להודעה מוקדמת, עדיפה על זו הקבועה ב</w:t>
      </w:r>
      <w:hyperlink r:id="rId44" w:history="1">
        <w:r w:rsidRPr="008D4727">
          <w:rPr>
            <w:rFonts w:ascii="Times New Roman" w:eastAsia="Times New Roman" w:hAnsi="Times New Roman" w:cs="David"/>
            <w:noProof/>
            <w:color w:val="0000FF"/>
            <w:sz w:val="28"/>
            <w:szCs w:val="28"/>
            <w:u w:val="single"/>
            <w:rtl/>
          </w:rPr>
          <w:t>חוק הודעה מוקדמת לפיטורים ולהתפטרות</w:t>
        </w:r>
      </w:hyperlink>
      <w:r w:rsidRPr="008D4727">
        <w:rPr>
          <w:rFonts w:ascii="Times New Roman" w:eastAsia="Times New Roman" w:hAnsi="Times New Roman" w:cs="David"/>
          <w:noProof/>
          <w:sz w:val="28"/>
          <w:szCs w:val="28"/>
          <w:rtl/>
        </w:rPr>
        <w:t xml:space="preserve">, התשס"א-2001 (בפרק זה להלן: </w:t>
      </w:r>
      <w:r w:rsidRPr="008D4727">
        <w:rPr>
          <w:rFonts w:ascii="Times New Roman" w:eastAsia="Times New Roman" w:hAnsi="Times New Roman" w:cs="David"/>
          <w:b/>
          <w:bCs/>
          <w:noProof/>
          <w:sz w:val="28"/>
          <w:szCs w:val="28"/>
          <w:rtl/>
        </w:rPr>
        <w:t>"החוק"</w:t>
      </w:r>
      <w:r w:rsidRPr="008D4727">
        <w:rPr>
          <w:rFonts w:ascii="Times New Roman" w:eastAsia="Times New Roman" w:hAnsi="Times New Roman" w:cs="David"/>
          <w:noProof/>
          <w:sz w:val="28"/>
          <w:szCs w:val="28"/>
          <w:rtl/>
        </w:rPr>
        <w:t>).</w:t>
      </w:r>
    </w:p>
    <w:p w:rsidR="008D4727" w:rsidRPr="008D4727" w:rsidRDefault="008D4727" w:rsidP="008D4727">
      <w:pPr>
        <w:spacing w:after="120" w:line="360" w:lineRule="auto"/>
        <w:ind w:left="720"/>
        <w:jc w:val="both"/>
        <w:rPr>
          <w:rFonts w:ascii="Times New Roman" w:eastAsia="Times New Roman" w:hAnsi="Times New Roman" w:cs="David"/>
          <w:noProof/>
          <w:sz w:val="26"/>
          <w:szCs w:val="26"/>
          <w:rtl/>
        </w:rPr>
      </w:pPr>
      <w:r w:rsidRPr="008D4727">
        <w:rPr>
          <w:rFonts w:ascii="Times New Roman" w:eastAsia="Times New Roman" w:hAnsi="Times New Roman" w:cs="David"/>
          <w:noProof/>
          <w:sz w:val="28"/>
          <w:szCs w:val="28"/>
          <w:rtl/>
        </w:rPr>
        <w:t xml:space="preserve">התובעת מפנה להלכה שלפיה: </w:t>
      </w:r>
      <w:r w:rsidRPr="008D4727">
        <w:rPr>
          <w:rFonts w:ascii="Times New Roman" w:eastAsia="Times New Roman" w:hAnsi="Times New Roman" w:cs="David"/>
          <w:b/>
          <w:bCs/>
          <w:noProof/>
          <w:sz w:val="26"/>
          <w:szCs w:val="26"/>
          <w:rtl/>
        </w:rPr>
        <w:t xml:space="preserve">"שכשמדובר בסיום עבודתו של מורה יש להודיע לו על כך לפני יום 31 למאי, של שנת הלימודים האחרונה שלו." </w:t>
      </w:r>
      <w:r w:rsidRPr="008D4727">
        <w:rPr>
          <w:rFonts w:ascii="Times New Roman" w:eastAsia="Times New Roman" w:hAnsi="Times New Roman" w:cs="David"/>
          <w:noProof/>
          <w:sz w:val="28"/>
          <w:szCs w:val="28"/>
          <w:rtl/>
        </w:rPr>
        <w:t>[</w:t>
      </w:r>
      <w:hyperlink r:id="rId45" w:history="1">
        <w:r w:rsidRPr="008D4727">
          <w:rPr>
            <w:rFonts w:ascii="Times New Roman" w:eastAsia="Times New Roman" w:hAnsi="Times New Roman" w:cs="David"/>
            <w:noProof/>
            <w:color w:val="0000FF"/>
            <w:sz w:val="28"/>
            <w:szCs w:val="28"/>
            <w:u w:val="single"/>
            <w:rtl/>
          </w:rPr>
          <w:t>ע"ע 1475/02</w:t>
        </w:r>
      </w:hyperlink>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b/>
          <w:bCs/>
          <w:noProof/>
          <w:sz w:val="28"/>
          <w:szCs w:val="28"/>
          <w:rtl/>
        </w:rPr>
        <w:t xml:space="preserve">מייזליק – מדינת ישראל, משרד החינוך והתרבות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noProof/>
          <w:sz w:val="28"/>
          <w:szCs w:val="28"/>
          <w:rtl/>
        </w:rPr>
        <w:t>(06.08.03)]</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ברם, בד בבד אין מחלוקת כי התובעת לא עבדה אצל הנתבעת בתפקיד הוראה</w:t>
      </w:r>
      <w:r w:rsidRPr="008D4727">
        <w:rPr>
          <w:rFonts w:ascii="Times New Roman" w:eastAsia="Times New Roman" w:hAnsi="Times New Roman" w:cs="David" w:hint="cs"/>
          <w:noProof/>
          <w:sz w:val="28"/>
          <w:szCs w:val="28"/>
          <w:rtl/>
        </w:rPr>
        <w:t>.</w:t>
      </w:r>
      <w:r w:rsidRPr="008D4727">
        <w:rPr>
          <w:rFonts w:ascii="Times New Roman" w:eastAsia="Times New Roman" w:hAnsi="Times New Roman" w:cs="David"/>
          <w:noProof/>
          <w:sz w:val="28"/>
          <w:szCs w:val="28"/>
          <w:rtl/>
        </w:rPr>
        <w:t xml:space="preserve"> הטענה שלפיה "עובדים במוסדות הקשורים לשנת לימודים", זכאים להודעה מוקדמת כשל מורים –  נטענה באופן סתמי, לא ברור על מה היא נסמכת, ועל כן לא נוכל לקבלה.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זאת ועוד: על פי הראיות שהובאו בפנינו, כאמור, נזקיה הממוניים של התובעת מוגבלים, ולעיל נפסק לה פיצוי בגינם, בשל פיטוריה שלא כדין.</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יחד עם זאת, הנתבעת הפרה את זכות התובעת להודעה מוקדמת מכוח החוק. כפי שקבענו לעיל, התובעת פוטרה ביום 28.08.11. הנתבעת לא הציגה מסמך שבגדרו הודע לתובעת על פיטוריה בטרם מועד זה. לצד זאת, כאמור, לא שוכנענו בטענת הנתבעת כי עובר ליום 28.08.11, התובעת ידעה או שהבינה או שהיה עליה לדעת כי היא מפוטרת, כשם שלא שוכנענו כי עובר למועד זה התחמקה התובעת מלקבל את מכתב הפיטורים. לפיכך, הרי שביום 28.08.11 פוטרה התובעת לאלתר.</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אין מחלוקת כי שולם לתובעת שכר עד ליום 01.09.11, ומכאן, שניתנה לתובעת הודעה מוקדמת של כ-4 ימים.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משכך,</w:t>
      </w:r>
      <w:r w:rsidRPr="008D4727">
        <w:rPr>
          <w:rFonts w:ascii="Times New Roman" w:eastAsia="Times New Roman" w:hAnsi="Times New Roman" w:cs="David"/>
          <w:noProof/>
          <w:sz w:val="28"/>
          <w:szCs w:val="28"/>
          <w:rtl/>
        </w:rPr>
        <w:t xml:space="preserve"> זכאית התובעת לתמורת הודעה מוקדמת בסך של 5,993 ₪ (כ-86% משכרה החודשי), וכך אנו קובעים.</w:t>
      </w:r>
    </w:p>
    <w:p w:rsidR="008D4727" w:rsidRPr="008D4727" w:rsidRDefault="008D4727" w:rsidP="008D4727">
      <w:pPr>
        <w:spacing w:after="120" w:line="360" w:lineRule="auto"/>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האם התובעת זכאית להפרשי פיצויי פיטורים?</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lastRenderedPageBreak/>
        <w:t xml:space="preserve">התובעת טענה כי היא זכאית להפרשי פיצויי פיטורים בסך 10,571 ₪. הנתבעת הסתפקה בהכחשה כללית של טענה זו, בציינה כי "אין יתרה נוספת להשלמה" מעבר לסכומים שנצברו לזכות התובעת במשך השנים בחברת הביטוח מגדל. בסיכומיה טענה הנתבעת כי </w:t>
      </w:r>
      <w:r w:rsidRPr="008D4727">
        <w:rPr>
          <w:rFonts w:ascii="Times New Roman" w:eastAsia="Times New Roman" w:hAnsi="Times New Roman" w:cs="David"/>
          <w:b/>
          <w:bCs/>
          <w:noProof/>
          <w:sz w:val="26"/>
          <w:szCs w:val="26"/>
          <w:rtl/>
        </w:rPr>
        <w:t>"...סכום פיצויי הפיטורים שקיבלה התובעת ניתן והצטבר כדין וכמוסכם."</w:t>
      </w:r>
      <w:r w:rsidRPr="008D4727">
        <w:rPr>
          <w:rFonts w:ascii="Times New Roman" w:eastAsia="Times New Roman" w:hAnsi="Times New Roman" w:cs="David"/>
          <w:noProof/>
          <w:sz w:val="28"/>
          <w:szCs w:val="28"/>
          <w:rtl/>
        </w:rPr>
        <w:t xml:space="preserve"> – סתמה ולא פירשה.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לצד זאת, הנתבעת לא חלקה על הטענה ששכרה האחרון של התובעת עמד על סך 6,969 ₪, ועל שתקופת עבודתה עמדה על כ-18.5 שנים [ראו: סעיף 10 לכתב ההגנה]. מכאן, שעם פיטוריה, היתה התובעת זכאית לפיצויי פיטורים בסך של 128,926.5 ₪.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גרסת התובעת, לרבות בסיכומיה, הייתה כי נצברו לזכותה בקופות סך של 118,355 ₪, ומכאן מסקנתה כי היא זכאית להפרשים בסך 10,571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ברם, מנספח ו' לתצהירו של מר הייזלר, שהאמור בו לא נסתר, עולה כי חברת הביטוח </w:t>
      </w:r>
      <w:r w:rsidRPr="008D4727">
        <w:rPr>
          <w:rFonts w:ascii="Times New Roman" w:eastAsia="Times New Roman" w:hAnsi="Times New Roman" w:cs="David" w:hint="cs"/>
          <w:noProof/>
          <w:sz w:val="28"/>
          <w:szCs w:val="28"/>
          <w:rtl/>
        </w:rPr>
        <w:t>שיחררה לזכות התובעת בגין</w:t>
      </w:r>
      <w:r w:rsidRPr="008D4727">
        <w:rPr>
          <w:rFonts w:ascii="Times New Roman" w:eastAsia="Times New Roman" w:hAnsi="Times New Roman" w:cs="David"/>
          <w:noProof/>
          <w:sz w:val="28"/>
          <w:szCs w:val="28"/>
          <w:rtl/>
        </w:rPr>
        <w:t xml:space="preserve"> פיצויי פיטורים סך של 121,000 ₪, וכך אנו קובעים.</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אשר על כן, אנו קובעים כי התובעת זכאית להפרשי פיצויי פיטורים בסך של 7,927 ₪.</w:t>
      </w:r>
    </w:p>
    <w:p w:rsidR="008D4727" w:rsidRPr="008D4727" w:rsidRDefault="008D4727" w:rsidP="008D4727">
      <w:pPr>
        <w:spacing w:after="120" w:line="360" w:lineRule="auto"/>
        <w:jc w:val="both"/>
        <w:rPr>
          <w:rFonts w:ascii="Times New Roman" w:eastAsia="Times New Roman" w:hAnsi="Times New Roman" w:cs="David"/>
          <w:noProof/>
          <w:sz w:val="28"/>
          <w:szCs w:val="28"/>
          <w:rtl/>
        </w:rPr>
      </w:pP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האם התובעת זכאית לפיצויי הלנת פיצויי פיטורים?</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התובעת טענה כי הנתבעת הלינה את פיצויי הפיטורים במשך עשרה חודשים. משכך היא עתרה לפיצויי הלנת פיצויי פיטורים בסך של 246,120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גרסת הנתבעת היא זו: לאחר שפוטרה התובעת, פנה </w:t>
      </w:r>
      <w:r w:rsidRPr="008D4727">
        <w:rPr>
          <w:rFonts w:ascii="Times New Roman" w:eastAsia="Times New Roman" w:hAnsi="Times New Roman" w:cs="David"/>
          <w:b/>
          <w:bCs/>
          <w:noProof/>
          <w:sz w:val="28"/>
          <w:szCs w:val="28"/>
          <w:rtl/>
        </w:rPr>
        <w:t>חשב הנתבעת</w:t>
      </w:r>
      <w:r w:rsidRPr="008D4727">
        <w:rPr>
          <w:rFonts w:ascii="Times New Roman" w:eastAsia="Times New Roman" w:hAnsi="Times New Roman" w:cs="David"/>
          <w:noProof/>
          <w:sz w:val="28"/>
          <w:szCs w:val="28"/>
          <w:rtl/>
        </w:rPr>
        <w:t xml:space="preserve"> לתובעת פעמים רבות לשם קידום הליך שחרור כספי פיצויי פיטורים. התובעת התבקשה להגיע למשרדי החשב, על מנת לחתום על טפסים רלבנטיים, וכן למסור כתובת עדכנית לצורך השלמת הליך שחרור כספי הפיטורים שנצברו לזכותה. אולם, התובעת התחמקה מכל הפניות אליה ולא מסרה את כתובתה.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על רקע זה, טענה הנתבעת כי העיכוב בשחרור פיצויי הפיטורים נבע מחוסר שיתוף פעולה מוחלט של התובעת; ואילו הייתה התובעת מספקת את כתובתה לנתבעת במועד שהתבקשה היה נמנע העיכוב.</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lastRenderedPageBreak/>
        <w:t>הנתבעת הוסיפה וטענה כי מכל מקום פעלה בתום לב גמור, ולפיכך אין לחייבה בפיצויי הלנת פיצויי פיטורים, ולחילופין יש לחייבה בפיצויי הלנה בגובה ריבית והצמדה בלבד.</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דין טענות התובעת להתקבל בחלקן, ונסביר: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ההמחאות מחברת הביטוח בגובה סכומי פיצויי הפיטורים שנצברו במגדל, הועברו לידי התובעת לא מוקדם מיום 15.08.</w:t>
      </w:r>
      <w:r w:rsidRPr="008D4727">
        <w:rPr>
          <w:rFonts w:ascii="Times New Roman" w:eastAsia="Times New Roman" w:hAnsi="Times New Roman" w:cs="David"/>
          <w:noProof/>
          <w:sz w:val="28"/>
          <w:szCs w:val="28"/>
          <w:u w:val="single"/>
          <w:rtl/>
        </w:rPr>
        <w:t>12</w:t>
      </w:r>
      <w:r w:rsidRPr="008D4727">
        <w:rPr>
          <w:rFonts w:ascii="Times New Roman" w:eastAsia="Times New Roman" w:hAnsi="Times New Roman" w:cs="David"/>
          <w:noProof/>
          <w:sz w:val="28"/>
          <w:szCs w:val="28"/>
          <w:rtl/>
        </w:rPr>
        <w:t xml:space="preserve"> [נספח ו' לתצהיר מר הייזלר].</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מכאן, ולאור העובדה שהתובעת פוטרה ביום 28.08.11, לא יכולה להיות מחלוקת שיש לראות בפיצויי הפיטורים כ"מולנים".</w:t>
      </w:r>
    </w:p>
    <w:p w:rsidR="008D4727" w:rsidRPr="008D4727" w:rsidRDefault="00583680" w:rsidP="008D4727">
      <w:pPr>
        <w:numPr>
          <w:ilvl w:val="1"/>
          <w:numId w:val="1"/>
        </w:numPr>
        <w:spacing w:after="120" w:line="360" w:lineRule="auto"/>
        <w:jc w:val="both"/>
        <w:rPr>
          <w:rFonts w:ascii="Times New Roman" w:eastAsia="Times New Roman" w:hAnsi="Times New Roman" w:cs="David"/>
          <w:b/>
          <w:bCs/>
          <w:noProof/>
          <w:sz w:val="28"/>
          <w:szCs w:val="28"/>
        </w:rPr>
      </w:pPr>
      <w:hyperlink r:id="rId46" w:history="1">
        <w:r w:rsidR="008D4727" w:rsidRPr="008D4727">
          <w:rPr>
            <w:rFonts w:ascii="Times New Roman" w:eastAsia="Times New Roman" w:hAnsi="Times New Roman" w:cs="David"/>
            <w:noProof/>
            <w:color w:val="0000FF"/>
            <w:sz w:val="28"/>
            <w:szCs w:val="28"/>
            <w:u w:val="single"/>
            <w:rtl/>
          </w:rPr>
          <w:t>סעיף 20(ה)</w:t>
        </w:r>
      </w:hyperlink>
      <w:r w:rsidR="008D4727" w:rsidRPr="008D4727">
        <w:rPr>
          <w:rFonts w:ascii="Times New Roman" w:eastAsia="Times New Roman" w:hAnsi="Times New Roman" w:cs="David"/>
          <w:noProof/>
          <w:sz w:val="28"/>
          <w:szCs w:val="28"/>
          <w:rtl/>
        </w:rPr>
        <w:t xml:space="preserve"> ל</w:t>
      </w:r>
      <w:hyperlink r:id="rId47" w:history="1">
        <w:r w:rsidR="008D4727" w:rsidRPr="008D4727">
          <w:rPr>
            <w:rFonts w:ascii="Times New Roman" w:eastAsia="Times New Roman" w:hAnsi="Times New Roman" w:cs="David"/>
            <w:noProof/>
            <w:color w:val="0000FF"/>
            <w:sz w:val="28"/>
            <w:szCs w:val="28"/>
            <w:u w:val="single"/>
            <w:rtl/>
          </w:rPr>
          <w:t>חוק הגנת השכר</w:t>
        </w:r>
      </w:hyperlink>
      <w:r w:rsidR="008D4727" w:rsidRPr="008D4727">
        <w:rPr>
          <w:rFonts w:ascii="Times New Roman" w:eastAsia="Times New Roman" w:hAnsi="Times New Roman" w:cs="David"/>
          <w:noProof/>
          <w:sz w:val="28"/>
          <w:szCs w:val="28"/>
          <w:rtl/>
        </w:rPr>
        <w:t xml:space="preserve"> התשי"ח-1958, קובע כי עובד לא יהא זכאי לפיצויי הלנת פיצויי פיטורים על הסכום המגיע לו מקופת גמל, בתנאי שהמעסיק </w:t>
      </w:r>
      <w:r w:rsidR="008D4727" w:rsidRPr="008D4727">
        <w:rPr>
          <w:rFonts w:ascii="Times New Roman" w:eastAsia="Times New Roman" w:hAnsi="Times New Roman" w:cs="David"/>
          <w:b/>
          <w:bCs/>
          <w:noProof/>
          <w:sz w:val="26"/>
          <w:szCs w:val="26"/>
          <w:rtl/>
        </w:rPr>
        <w:t>"הודיע לקופת הגמל בכתב, תוך 15 יום מהמועד לתשלום פיצויי פיטורים, כי הוא מסכים לתשלומם".</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הנה כי כן, במקרה של פיצויים שנצברו בקופת גמל, לא יהא המעסיק חב לשלם פיצויי הלנת פיצויי פיטורים, אם ישכנע כי הודיע לקופה, במועד הסטטוטורי, כי הוא מסכים לתשלום הפיצויים (להלן: </w:t>
      </w:r>
      <w:r w:rsidRPr="008D4727">
        <w:rPr>
          <w:rFonts w:ascii="Times New Roman" w:eastAsia="Times New Roman" w:hAnsi="Times New Roman" w:cs="David"/>
          <w:b/>
          <w:bCs/>
          <w:noProof/>
          <w:sz w:val="28"/>
          <w:szCs w:val="28"/>
          <w:rtl/>
        </w:rPr>
        <w:t>"הודעת שחרור"</w:t>
      </w:r>
      <w:r w:rsidRPr="008D4727">
        <w:rPr>
          <w:rFonts w:ascii="Times New Roman" w:eastAsia="Times New Roman" w:hAnsi="Times New Roman" w:cs="David"/>
          <w:noProof/>
          <w:sz w:val="28"/>
          <w:szCs w:val="28"/>
          <w:rtl/>
        </w:rPr>
        <w:t>).</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בנסיבות שבהן מבכר המעסיק שלא לשלוח הודעת שחרור כאמור, עלול הוא לשאת בתשלום פיצויי הלנה בגין כל תקופת ההלנה [ראו: </w:t>
      </w:r>
      <w:hyperlink r:id="rId48" w:history="1">
        <w:r w:rsidRPr="008D4727">
          <w:rPr>
            <w:rFonts w:ascii="Times New Roman" w:eastAsia="Times New Roman" w:hAnsi="Times New Roman" w:cs="David"/>
            <w:noProof/>
            <w:color w:val="0000FF"/>
            <w:sz w:val="28"/>
            <w:szCs w:val="28"/>
            <w:u w:val="single"/>
            <w:rtl/>
          </w:rPr>
          <w:t xml:space="preserve">דב"ע נג/3-24 </w:t>
        </w:r>
      </w:hyperlink>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b/>
          <w:bCs/>
          <w:noProof/>
          <w:sz w:val="28"/>
          <w:szCs w:val="28"/>
          <w:rtl/>
        </w:rPr>
        <w:t>אלירם חברה לבנין – קליין</w:t>
      </w:r>
      <w:r w:rsidRPr="008D4727">
        <w:rPr>
          <w:rFonts w:ascii="Times New Roman" w:eastAsia="Times New Roman" w:hAnsi="Times New Roman" w:cs="David"/>
          <w:noProof/>
          <w:sz w:val="28"/>
          <w:szCs w:val="28"/>
          <w:rtl/>
        </w:rPr>
        <w:t xml:space="preserve"> </w:t>
      </w:r>
      <w:r w:rsidRPr="008D4727">
        <w:rPr>
          <w:rFonts w:ascii="Times New Roman" w:eastAsia="Times New Roman" w:hAnsi="Times New Roman" w:cs="David"/>
          <w:noProof/>
          <w:szCs w:val="24"/>
          <w:rtl/>
        </w:rPr>
        <w:t xml:space="preserve">[פורסם בנבו] </w:t>
      </w:r>
      <w:r w:rsidRPr="008D4727">
        <w:rPr>
          <w:rFonts w:ascii="Times New Roman" w:eastAsia="Times New Roman" w:hAnsi="Times New Roman" w:cs="David"/>
          <w:noProof/>
          <w:sz w:val="28"/>
          <w:szCs w:val="28"/>
          <w:rtl/>
        </w:rPr>
        <w:t>פד"ע כו 59].</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בענייננו - לפי גרסת הנתבעת, הודעת השחרור נמסרה לחברת מגדל רק ביום 17.05.12, כאשר בשלב זה, היתה בידי הנתבעת כתובתה של התובעת.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לאחר מכן, כך הוסיפה וטענה הנתבעת, הודיעה לה חברת מגדל כי הסכום לפיצויים שונה, ובאותו יום נשלח לתובעת בדואר טופס 161, ועותק ממנו נמסר לנכדותיה. על פי נספח ה' לתצהיר התובעת, טופס 161 נשלח אליה ביום 20.06.12, ועל פי גרסת הנתבעת במועד זה נשלח לתובעת טוס 161 "עדכני".</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הנתבעת לא מצאה לנכון לצרף לראיותיה את הודעת השחרור ששלחה לחברת מגדל, וראיות על אודות מועד שליחתה.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lastRenderedPageBreak/>
        <w:t xml:space="preserve">אולם, אפילו נקבל את טענתה כי ההודעה נשלחה ביום 17.05.12, הרי מדובר בשיהוי משמעותי ביותר, אשר ודאי חורג מן המועד הנקוב </w:t>
      </w:r>
      <w:hyperlink r:id="rId49" w:history="1">
        <w:r w:rsidRPr="008D4727">
          <w:rPr>
            <w:rFonts w:ascii="Times New Roman" w:eastAsia="Times New Roman" w:hAnsi="Times New Roman" w:cs="David"/>
            <w:noProof/>
            <w:color w:val="0000FF"/>
            <w:sz w:val="28"/>
            <w:szCs w:val="28"/>
            <w:u w:val="single"/>
            <w:rtl/>
          </w:rPr>
          <w:t>בסעיף 20(ה)</w:t>
        </w:r>
      </w:hyperlink>
      <w:r w:rsidRPr="008D4727">
        <w:rPr>
          <w:rFonts w:ascii="Times New Roman" w:eastAsia="Times New Roman" w:hAnsi="Times New Roman" w:cs="David"/>
          <w:noProof/>
          <w:sz w:val="28"/>
          <w:szCs w:val="28"/>
          <w:rtl/>
        </w:rPr>
        <w:t xml:space="preserve"> הנ"ל.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הנתבעת לא סיפקה צידוקים מספקים לעיכוב משמעותי זה: היא לא נימקה די הצורך מדוע לא הודיעה לקופה במועדים הסטטוטוריים, הנימוקים שסיפקה כלליים ואינם משכנעים, והיא אף נמנעה מהבאת ראיות רלבנטיות, ונפרט קמעא:</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ראשית, הנתבעת לא מצאה לנכון לזמן לעדות את החשב מטעמה, אשר לפי הנטען הוא זה פנה לתובעת רבות לצורך הליך שחרור פיצויי הפיטורים. מחדל זה פועל לחובת הנתבעת.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hint="cs"/>
          <w:noProof/>
          <w:sz w:val="28"/>
          <w:szCs w:val="28"/>
          <w:rtl/>
        </w:rPr>
        <w:t>בנוסף</w:t>
      </w:r>
      <w:r w:rsidRPr="008D4727">
        <w:rPr>
          <w:rFonts w:ascii="Times New Roman" w:eastAsia="Times New Roman" w:hAnsi="Times New Roman" w:cs="David"/>
          <w:noProof/>
          <w:sz w:val="28"/>
          <w:szCs w:val="28"/>
          <w:rtl/>
        </w:rPr>
        <w:t xml:space="preserve">, עדותם של מר ביטון ומר הייזלר בהקשר זה, היו כלליות ולא הניחו את הדעת.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מר הייזלר ציין כי חלקים נרחבים מעדותו בהקשר זה היא עדות שמיעה, או "מידיעת המשרד" (הגדרה שאינה ברורה לנו די הצורך). ב</w:t>
      </w:r>
      <w:r w:rsidRPr="008D4727">
        <w:rPr>
          <w:rFonts w:ascii="Times New Roman" w:eastAsia="Times New Roman" w:hAnsi="Times New Roman" w:cs="David" w:hint="cs"/>
          <w:noProof/>
          <w:sz w:val="28"/>
          <w:szCs w:val="28"/>
          <w:rtl/>
        </w:rPr>
        <w:t xml:space="preserve">ין היתר, </w:t>
      </w:r>
      <w:r w:rsidRPr="008D4727">
        <w:rPr>
          <w:rFonts w:ascii="Times New Roman" w:eastAsia="Times New Roman" w:hAnsi="Times New Roman" w:cs="David"/>
          <w:noProof/>
          <w:sz w:val="28"/>
          <w:szCs w:val="28"/>
          <w:rtl/>
        </w:rPr>
        <w:t xml:space="preserve">העיד מר הייזלר כי פיצויי הפיטורים לא שולמו לתובעת בסמוך לפיטוריה, משום שבתקופה ההיא עדיין ניסו למצוא לה עבודה. אולם בהמשך,  כאשר נשאל מהי התקופה המדוברת העיד, בהגינותו, כי: </w:t>
      </w:r>
      <w:r w:rsidRPr="008D4727">
        <w:rPr>
          <w:rFonts w:ascii="Times New Roman" w:eastAsia="Times New Roman" w:hAnsi="Times New Roman" w:cs="David"/>
          <w:b/>
          <w:bCs/>
          <w:noProof/>
          <w:sz w:val="26"/>
          <w:szCs w:val="26"/>
          <w:rtl/>
        </w:rPr>
        <w:t>"...כל הדברים האלה אינם מידיעה כי לא הייתי בתקופה הרלוונטית מנכ"ל".</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מר ביטון טען כי התובעת התחמקה מלשבת עם החשב, כדי ל"סגור חשבון", והוא הורה לחשב "לעשות חשבון" בלעדי התובעת, ולשלם לה. בהמשך, כך לטענתו, התברר כי בקופת הפיצויים צבורים כספים רבים יותר ממה שצריך היה לשלם לתובעת, וצריך היה להחתים אותה כי היתרה תועבר למעסיק. בחקירתו הנגדית נשאל מר ביטון האם יש בידיו להציג מספרים ומסמכים התומכים בטענתו בדבר הסכומים העודפים והלה השיב: </w:t>
      </w:r>
      <w:r w:rsidRPr="008D4727">
        <w:rPr>
          <w:rFonts w:ascii="Times New Roman" w:eastAsia="Times New Roman" w:hAnsi="Times New Roman" w:cs="David"/>
          <w:b/>
          <w:bCs/>
          <w:noProof/>
          <w:sz w:val="26"/>
          <w:szCs w:val="26"/>
          <w:rtl/>
        </w:rPr>
        <w:t>"לא זוכר. זכור לי משהו בסביבות 90,000 – 80,000 ₪ שהיה בקופה והגיע לה 10,000 ₪  או 20,000 ₪ פחות."</w:t>
      </w:r>
      <w:r w:rsidRPr="008D4727">
        <w:rPr>
          <w:rFonts w:ascii="Times New Roman" w:eastAsia="Times New Roman" w:hAnsi="Times New Roman" w:cs="David"/>
          <w:noProof/>
          <w:sz w:val="28"/>
          <w:szCs w:val="28"/>
          <w:rtl/>
        </w:rPr>
        <w:t xml:space="preserve">. לאחר מכן, כך הוסיף וטען, הוא הורה לחשב להוציא לתובעת שיק על הסכום המגיע לה, ו"כנראה" התובעת הגיעה וקיבלה את השיק.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פרטי עדותו, אינ</w:t>
      </w:r>
      <w:r w:rsidRPr="008D4727">
        <w:rPr>
          <w:rFonts w:ascii="Times New Roman" w:eastAsia="Times New Roman" w:hAnsi="Times New Roman" w:cs="David" w:hint="cs"/>
          <w:noProof/>
          <w:sz w:val="28"/>
          <w:szCs w:val="28"/>
          <w:rtl/>
        </w:rPr>
        <w:t>ם</w:t>
      </w:r>
      <w:r w:rsidRPr="008D4727">
        <w:rPr>
          <w:rFonts w:ascii="Times New Roman" w:eastAsia="Times New Roman" w:hAnsi="Times New Roman" w:cs="David"/>
          <w:noProof/>
          <w:sz w:val="28"/>
          <w:szCs w:val="28"/>
          <w:rtl/>
        </w:rPr>
        <w:t xml:space="preserve"> מתיישב</w:t>
      </w:r>
      <w:r w:rsidRPr="008D4727">
        <w:rPr>
          <w:rFonts w:ascii="Times New Roman" w:eastAsia="Times New Roman" w:hAnsi="Times New Roman" w:cs="David" w:hint="cs"/>
          <w:noProof/>
          <w:sz w:val="28"/>
          <w:szCs w:val="28"/>
          <w:rtl/>
        </w:rPr>
        <w:t>ים</w:t>
      </w:r>
      <w:r w:rsidRPr="008D4727">
        <w:rPr>
          <w:rFonts w:ascii="Times New Roman" w:eastAsia="Times New Roman" w:hAnsi="Times New Roman" w:cs="David"/>
          <w:noProof/>
          <w:sz w:val="28"/>
          <w:szCs w:val="28"/>
          <w:rtl/>
        </w:rPr>
        <w:t xml:space="preserve"> עם חומר הראיות. כך, למשל, ההמחאות בגובה הסכומים שהצטברו לזכות התובעת נשלחו אליה בדואר על ידי סוכנות הביטוח. הנה כי כן, התרשמנו כי מר ביטון  התקשה לזכור את </w:t>
      </w:r>
      <w:r w:rsidRPr="008D4727">
        <w:rPr>
          <w:rFonts w:ascii="Times New Roman" w:eastAsia="Times New Roman" w:hAnsi="Times New Roman" w:cs="David"/>
          <w:noProof/>
          <w:sz w:val="28"/>
          <w:szCs w:val="28"/>
          <w:rtl/>
        </w:rPr>
        <w:lastRenderedPageBreak/>
        <w:t>הפרטים כהוויתם, ואיננו סבורים כי ניתן לבסס ממצאים עובדתיים על בסיס עדותו בהקשר זה.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שנית, טענת הנתבעת בדבר קשר סיבתי בין העובדה שהתובעת לא מסרה את כתובתה (כך לפי הנטען), לבין העובדה שהמעסיקה לא קיימה את האמור </w:t>
      </w:r>
      <w:hyperlink r:id="rId50" w:history="1">
        <w:r w:rsidRPr="008D4727">
          <w:rPr>
            <w:rFonts w:ascii="Times New Roman" w:eastAsia="Times New Roman" w:hAnsi="Times New Roman" w:cs="David"/>
            <w:noProof/>
            <w:color w:val="0000FF"/>
            <w:sz w:val="28"/>
            <w:szCs w:val="28"/>
            <w:u w:val="single"/>
            <w:rtl/>
          </w:rPr>
          <w:t>בסעיף 20(ה)</w:t>
        </w:r>
      </w:hyperlink>
      <w:r w:rsidRPr="008D4727">
        <w:rPr>
          <w:rFonts w:ascii="Times New Roman" w:eastAsia="Times New Roman" w:hAnsi="Times New Roman" w:cs="David"/>
          <w:noProof/>
          <w:sz w:val="28"/>
          <w:szCs w:val="28"/>
          <w:rtl/>
        </w:rPr>
        <w:t xml:space="preserve"> לחוק – אינה משכנעת.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נזכיר כי התובעת פוטרה ביום 28.08.11 (לשיטת הנתבעת היא החליטה על פיטוריה כבר ביום 01.08.11), כאשר אין מחלוקת כי במהלך חודש ספטמבר 2011 התובעת עדיין התגוררה </w:t>
      </w:r>
      <w:r w:rsidRPr="008D4727">
        <w:rPr>
          <w:rFonts w:ascii="Times New Roman" w:eastAsia="Times New Roman" w:hAnsi="Times New Roman" w:cs="David"/>
          <w:b/>
          <w:bCs/>
          <w:noProof/>
          <w:sz w:val="28"/>
          <w:szCs w:val="28"/>
          <w:rtl/>
        </w:rPr>
        <w:t>בדירת השירות</w:t>
      </w:r>
      <w:r w:rsidRPr="008D4727">
        <w:rPr>
          <w:rFonts w:ascii="Times New Roman" w:eastAsia="Times New Roman" w:hAnsi="Times New Roman" w:cs="David"/>
          <w:noProof/>
          <w:sz w:val="28"/>
          <w:szCs w:val="28"/>
          <w:rtl/>
        </w:rPr>
        <w:t xml:space="preserve"> [סעיף 25 לתצהיר מר הייזלר], וככל הנראה אף במהלך חלק מחודש אוקטובר 2011 [עדות התובעת, פרוט', עמ' 10, ש' 22].</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זאת ועוד: הנטל שמוטל על המעסיקה הוא להודיע לחברת הביטוח כי היא מסכימה לתשלום הפיצויים לעובד; אולם, הנתבעת לא הבהירה  מדוע כתובת התובעת הוא תנאי הכרחי לביצוע פעולה זו, והדבר פועל לחובתה.</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בחקירתו הנגדית בפנינו נשאל מר הייזלר בעניין זה, לאמור: </w:t>
      </w:r>
    </w:p>
    <w:p w:rsidR="008D4727" w:rsidRPr="008D4727" w:rsidRDefault="008D4727" w:rsidP="008D4727">
      <w:pPr>
        <w:spacing w:after="120"/>
        <w:ind w:left="720"/>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"ש. למה עיכבתם את שחרור כספי הפיצויים מחברת מגדל הרי לשחרר אותם לא הייתם צריכים את כתובתה.</w:t>
      </w:r>
    </w:p>
    <w:p w:rsidR="008D4727" w:rsidRPr="008D4727" w:rsidRDefault="008D4727" w:rsidP="008D4727">
      <w:pPr>
        <w:spacing w:after="120"/>
        <w:ind w:left="720"/>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ת. היא צריכה לחתום על טופס 161.</w:t>
      </w:r>
    </w:p>
    <w:p w:rsidR="008D4727" w:rsidRPr="008D4727" w:rsidRDefault="008D4727" w:rsidP="008D4727">
      <w:pPr>
        <w:spacing w:after="120"/>
        <w:ind w:left="720"/>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ש. אתם יכולים לפנות לחברת הביטוח ללא קשר לחתימה, האם נעשתה פנייה כזו סמוך למועד פיטוריה.</w:t>
      </w:r>
    </w:p>
    <w:p w:rsidR="008D4727" w:rsidRPr="008D4727" w:rsidRDefault="008D4727" w:rsidP="008D4727">
      <w:pPr>
        <w:spacing w:after="120"/>
        <w:ind w:left="720"/>
        <w:jc w:val="both"/>
        <w:rPr>
          <w:rFonts w:ascii="Times New Roman" w:eastAsia="Times New Roman" w:hAnsi="Times New Roman" w:cs="David"/>
          <w:b/>
          <w:bCs/>
          <w:noProof/>
          <w:sz w:val="26"/>
          <w:szCs w:val="26"/>
          <w:rtl/>
        </w:rPr>
      </w:pPr>
      <w:r w:rsidRPr="008D4727">
        <w:rPr>
          <w:rFonts w:ascii="Times New Roman" w:eastAsia="Times New Roman" w:hAnsi="Times New Roman" w:cs="David"/>
          <w:b/>
          <w:bCs/>
          <w:noProof/>
          <w:sz w:val="26"/>
          <w:szCs w:val="26"/>
          <w:rtl/>
        </w:rPr>
        <w:t>ת. אני יודע כי הם פנו לחברת מגדל על שיק שחזר של אדם שעבד אצלנו. אדם שאני לא מאתר אותו ולא משיגו, אני לא מתאמץ יותר מידי."</w:t>
      </w:r>
    </w:p>
    <w:p w:rsidR="008D4727" w:rsidRPr="008D4727" w:rsidRDefault="008D4727" w:rsidP="008D4727">
      <w:pPr>
        <w:spacing w:after="120"/>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[פרוט', עמ' 34, ש' 18-24].</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ברם, בניגוד לטענת מר הייזלר, נציין כי טופס 161, שהינו "הודעת מעביד על פרישה מעבודה של עובד", אינו דורש חתימת העובד (להבדיל מטופס 161</w:t>
      </w:r>
      <w:r w:rsidRPr="008D4727">
        <w:rPr>
          <w:rFonts w:ascii="Times New Roman" w:eastAsia="Times New Roman" w:hAnsi="Times New Roman" w:cs="David"/>
          <w:b/>
          <w:bCs/>
          <w:noProof/>
          <w:sz w:val="28"/>
          <w:szCs w:val="28"/>
          <w:u w:val="single"/>
          <w:rtl/>
        </w:rPr>
        <w:t>א</w:t>
      </w:r>
      <w:r w:rsidRPr="008D4727">
        <w:rPr>
          <w:rFonts w:ascii="Times New Roman" w:eastAsia="Times New Roman" w:hAnsi="Times New Roman" w:cs="David"/>
          <w:noProof/>
          <w:sz w:val="28"/>
          <w:szCs w:val="28"/>
          <w:rtl/>
        </w:rPr>
        <w:t>).</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למעלה מן הצריך, נוסיף כי טענות הנתבעת שלפיהן לאחר פיטורי התובעת לא הצליחה לתקשר עמה, חרף מאמצים שהשקיעה, וכי היה זה בשל התחמקות התובעת – אף הן לא הוכחו במידה הדרושה, והן מעוררות תמיהות רבות.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כך, למשל, אין חולק כי באת-כוח התובעת פנתה לנתבעת כבר ביום </w:t>
      </w:r>
      <w:r w:rsidRPr="008D4727">
        <w:rPr>
          <w:rFonts w:ascii="Times New Roman" w:eastAsia="Times New Roman" w:hAnsi="Times New Roman" w:cs="David"/>
          <w:noProof/>
          <w:sz w:val="28"/>
          <w:szCs w:val="28"/>
          <w:u w:val="single"/>
          <w:rtl/>
        </w:rPr>
        <w:t>08.12.11</w:t>
      </w:r>
      <w:r w:rsidRPr="008D4727">
        <w:rPr>
          <w:rFonts w:ascii="Times New Roman" w:eastAsia="Times New Roman" w:hAnsi="Times New Roman" w:cs="David"/>
          <w:noProof/>
          <w:sz w:val="28"/>
          <w:szCs w:val="28"/>
          <w:rtl/>
        </w:rPr>
        <w:t xml:space="preserve">, כאשר בגדרה של אותה פנייה תבעה כי ישולמו למרשתה מלוא פיצויי הפיטורים בצירוף פיצויי הלנת פיצויי פיטורים.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lastRenderedPageBreak/>
        <w:t>הנתבעת לא נעתרה לדרישת התובעת באמצעות באת כוחה, לא פעלה מול באת-כוחה בהקשר זה, ולא סיפקה הסבר סביר למחדליה</w:t>
      </w:r>
      <w:r w:rsidRPr="008D4727">
        <w:rPr>
          <w:rFonts w:ascii="Times New Roman" w:eastAsia="Times New Roman" w:hAnsi="Times New Roman" w:cs="David" w:hint="cs"/>
          <w:noProof/>
          <w:sz w:val="28"/>
          <w:szCs w:val="28"/>
          <w:rtl/>
        </w:rPr>
        <w:t>.</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 נוסף על כך, הנתבעת לא טענה כי ניסתה לפנות לבנה של התובעת, כשם שלא טענה כי ניסתה למסור לתובעת מסמכים לדירת השירות; זאת, חרף טענתה כי לאחר פיטוריה, התובעת אפשרה לאחד מבניה לגור בדירת השירות במשך 11 חודשים תמימים.</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לגבי חלק הפיצויים הנותר, סך של 7,927 ₪ כפי שקבענו לעיל, הרי היה על הנתבעת לשלמו תוך 15 ימים מיום הפסקת יחסי העבודה – אף חובה זו לא קיימה הנתבעת [ראו: </w:t>
      </w:r>
      <w:hyperlink r:id="rId51" w:history="1">
        <w:r w:rsidRPr="008D4727">
          <w:rPr>
            <w:rFonts w:ascii="Times New Roman" w:eastAsia="Times New Roman" w:hAnsi="Times New Roman" w:cs="David"/>
            <w:noProof/>
            <w:color w:val="0000FF"/>
            <w:sz w:val="28"/>
            <w:szCs w:val="28"/>
            <w:u w:val="single"/>
            <w:rtl/>
          </w:rPr>
          <w:t>סעיף 20(א)(1)</w:t>
        </w:r>
      </w:hyperlink>
      <w:r w:rsidRPr="008D4727">
        <w:rPr>
          <w:rFonts w:ascii="Times New Roman" w:eastAsia="Times New Roman" w:hAnsi="Times New Roman" w:cs="David"/>
          <w:noProof/>
          <w:sz w:val="28"/>
          <w:szCs w:val="28"/>
          <w:rtl/>
        </w:rPr>
        <w:t xml:space="preserve"> ל</w:t>
      </w:r>
      <w:hyperlink r:id="rId52" w:history="1">
        <w:r w:rsidRPr="008D4727">
          <w:rPr>
            <w:rFonts w:ascii="Times New Roman" w:eastAsia="Times New Roman" w:hAnsi="Times New Roman" w:cs="David"/>
            <w:noProof/>
            <w:color w:val="0000FF"/>
            <w:sz w:val="28"/>
            <w:szCs w:val="28"/>
            <w:u w:val="single"/>
            <w:rtl/>
          </w:rPr>
          <w:t>חוק הגנת השכר</w:t>
        </w:r>
      </w:hyperlink>
      <w:r w:rsidRPr="008D4727">
        <w:rPr>
          <w:rFonts w:ascii="Times New Roman" w:eastAsia="Times New Roman" w:hAnsi="Times New Roman" w:cs="David"/>
          <w:noProof/>
          <w:sz w:val="28"/>
          <w:szCs w:val="28"/>
          <w:rtl/>
        </w:rPr>
        <w:t xml:space="preserve">].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נעיר כי אחת מתכליות פיצויי הפיטורים, היא לסייע לעובד להתקיים בכבוד עד שיימצא עבודה חלופית. במקרה שלפנינו, פיצויי הפיטורים שולמו לתובעת, </w:t>
      </w:r>
      <w:r w:rsidRPr="008D4727">
        <w:rPr>
          <w:rFonts w:ascii="Times New Roman" w:eastAsia="Times New Roman" w:hAnsi="Times New Roman" w:cs="David"/>
          <w:b/>
          <w:bCs/>
          <w:noProof/>
          <w:sz w:val="28"/>
          <w:szCs w:val="28"/>
          <w:rtl/>
        </w:rPr>
        <w:t>כמעט שנה</w:t>
      </w:r>
      <w:r w:rsidRPr="008D4727">
        <w:rPr>
          <w:rFonts w:ascii="Times New Roman" w:eastAsia="Times New Roman" w:hAnsi="Times New Roman" w:cs="David"/>
          <w:noProof/>
          <w:sz w:val="28"/>
          <w:szCs w:val="28"/>
          <w:rtl/>
        </w:rPr>
        <w:t xml:space="preserve"> לאחר הפיטורים, ויש בכך כדי לעשות תורת המחוקק פלסתר.</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לאחר ששקלנו את מכלול השיקולים הצריכים להכרעתנו, אנו מורים כי הנתבעת תשלם לתובעת פיצויי הלנת פיצויי פיטורים מופחתים, בסך של 25,000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בהתייחס לטענת הנתבעת בסיכומיה, שלפיה, התובעת לא הוכיחה שנגרם לה שמץ נזק עקב העיכוב בשחרור כספי הפיצויים, נזכיר מושכלות יסוד, ולפיהן פיצויי הלנה הם פיצויים עונשיים במהותם.</w:t>
      </w:r>
    </w:p>
    <w:p w:rsidR="008D4727" w:rsidRPr="008D4727" w:rsidRDefault="008D4727" w:rsidP="008D4727">
      <w:pPr>
        <w:spacing w:after="120" w:line="360" w:lineRule="auto"/>
        <w:jc w:val="both"/>
        <w:rPr>
          <w:rFonts w:ascii="Times New Roman" w:eastAsia="Times New Roman" w:hAnsi="Times New Roman" w:cs="David"/>
          <w:b/>
          <w:bCs/>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b/>
          <w:bCs/>
          <w:noProof/>
          <w:sz w:val="28"/>
          <w:szCs w:val="28"/>
        </w:rPr>
      </w:pPr>
      <w:r w:rsidRPr="008D4727">
        <w:rPr>
          <w:rFonts w:ascii="Times New Roman" w:eastAsia="Times New Roman" w:hAnsi="Times New Roman" w:cs="David"/>
          <w:b/>
          <w:bCs/>
          <w:noProof/>
          <w:sz w:val="28"/>
          <w:szCs w:val="28"/>
          <w:rtl/>
        </w:rPr>
        <w:t>האם התובעת זכאית להפרשי שכר?</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כאמור לעיל, ביום 27.02.13, לאחר הדיון המוקדם שהתקיים בתיק, שילמה הנתבעת לתובעת סך של 4,000 ₪, בעד עבודתה בקייטנה בקיץ שנת תש"ע.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נאמר כי הכרתה של הנתבעת בזכות התובעת לתשלום בעד עבודתה כאמור, תוך התעלמותה מדרישתה לריבית והצמדה (בסכום כזה או אחר), חרף העובדה שהשכר שולם באיחור ניכר -  תמוהה.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מכל מקום, בסיכומיה לא העלתה התובעת טענות בהקשר זה. לפיכך, אנו קובעים כי התובעת אינה זכאית לסכום נוסף בזיקה לעבודתה בקייטנה כאמור.</w:t>
      </w:r>
    </w:p>
    <w:p w:rsidR="008D4727" w:rsidRPr="008D4727" w:rsidRDefault="008D4727" w:rsidP="008D4727">
      <w:pPr>
        <w:spacing w:after="120" w:line="360" w:lineRule="auto"/>
        <w:rPr>
          <w:rFonts w:ascii="Times New Roman" w:eastAsia="Times New Roman" w:hAnsi="Times New Roman" w:cs="David"/>
          <w:b/>
          <w:bCs/>
          <w:noProof/>
          <w:sz w:val="28"/>
          <w:szCs w:val="28"/>
          <w:u w:val="single"/>
          <w:rtl/>
        </w:rPr>
      </w:pPr>
    </w:p>
    <w:p w:rsidR="008D4727" w:rsidRPr="008D4727" w:rsidRDefault="008D4727" w:rsidP="008D4727">
      <w:pPr>
        <w:spacing w:after="120" w:line="360" w:lineRule="auto"/>
        <w:rPr>
          <w:rFonts w:ascii="Times New Roman" w:eastAsia="Times New Roman" w:hAnsi="Times New Roman" w:cs="David"/>
          <w:b/>
          <w:bCs/>
          <w:noProof/>
          <w:sz w:val="28"/>
          <w:szCs w:val="28"/>
          <w:u w:val="single"/>
          <w:rtl/>
        </w:rPr>
      </w:pPr>
      <w:r w:rsidRPr="008D4727">
        <w:rPr>
          <w:rFonts w:ascii="Times New Roman" w:eastAsia="Times New Roman" w:hAnsi="Times New Roman" w:cs="David"/>
          <w:b/>
          <w:bCs/>
          <w:noProof/>
          <w:sz w:val="28"/>
          <w:szCs w:val="28"/>
          <w:u w:val="single"/>
          <w:rtl/>
        </w:rPr>
        <w:t>טענת הקיזוז שהעלתה הנתבעת</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הנתבעת טענה, כי ככל שבית הדין יחליט לחייבה בסכום כלשהו, הרי שיש לקזז מסכום זה סך של 14,300 ₪ בתוספת ריבית והצמדה. זאת, על יסוד הטענה שהתובעת החזיקה בדירת השירות שהועמדה לרשותה במהלך עבודתה, במשך חודשים לאחר פיטוריה – לפי הטענה שלא כדין.</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ביתר פירוט טענה הנתבעת כי לאחר פיטוריה, אפשרה התובעת לבנה להתגורר בדירת השירות, במשך 11 חודשים, חרף דרישות חוזרות ונשנות לפנות את הדירה. מכאן, טוענת הנתבעת כי נגרם לה נזק בסך של 14,300 ₪, שבגינו על התובעת לפצותה.</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התובעת טענה כי בנסיבות שבהן פוטרה לא היה לה ולבעלה, אשר לומד תורה, מקום מגורים חלופי, היא התקשתה למצוא עבודה ומצבה הנפשי היה קשה, ולמעשה לא היה להם אנה לפנות.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משכך, כאשר קיבלה את מכתב הפיטורים, היא המשיכה לגור בדירה, אולם זאת למשך </w:t>
      </w:r>
      <w:r w:rsidRPr="008D4727">
        <w:rPr>
          <w:rFonts w:ascii="Times New Roman" w:eastAsia="Times New Roman" w:hAnsi="Times New Roman" w:cs="David"/>
          <w:b/>
          <w:bCs/>
          <w:noProof/>
          <w:sz w:val="28"/>
          <w:szCs w:val="28"/>
          <w:rtl/>
        </w:rPr>
        <w:t>מספר שבועות בלבד</w:t>
      </w:r>
      <w:r w:rsidRPr="008D4727">
        <w:rPr>
          <w:rFonts w:ascii="Times New Roman" w:eastAsia="Times New Roman" w:hAnsi="Times New Roman" w:cs="David"/>
          <w:noProof/>
          <w:sz w:val="28"/>
          <w:szCs w:val="28"/>
          <w:rtl/>
        </w:rPr>
        <w:t xml:space="preserve">. בהמשך, עברה לגור אצל בתה בבני ברק, אולם חפציה נותרו בדירה.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התובעת הכחישה מכל וכל כי אחד מבניה התגורר בדירה.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בחקירתה הנגדית נשאלה התובעת מדוע לא פינתה את הדירה, וכך השיבה: </w:t>
      </w:r>
      <w:r w:rsidRPr="008D4727">
        <w:rPr>
          <w:rFonts w:ascii="Times New Roman" w:eastAsia="Times New Roman" w:hAnsi="Times New Roman" w:cs="David"/>
          <w:b/>
          <w:bCs/>
          <w:noProof/>
          <w:sz w:val="26"/>
          <w:szCs w:val="26"/>
          <w:rtl/>
        </w:rPr>
        <w:t xml:space="preserve">"כי לא היה לי איפה לשים את הדברים והם היו חייבים לי כסף, לא שילמו לי כלום גם לא את הפיצויים. לא היה לי לאן ללכת. איפה לשים את הדברים. הלכתי לבת שלי אבל דברים נשארו שם.". </w:t>
      </w:r>
      <w:r w:rsidRPr="008D4727">
        <w:rPr>
          <w:rFonts w:ascii="Times New Roman" w:eastAsia="Times New Roman" w:hAnsi="Times New Roman" w:cs="David"/>
          <w:noProof/>
          <w:sz w:val="28"/>
          <w:szCs w:val="28"/>
          <w:rtl/>
        </w:rPr>
        <w:t>[פרוט', עמ' 13, ש' 10-12].</w:t>
      </w:r>
      <w:r w:rsidRPr="008D4727">
        <w:rPr>
          <w:rFonts w:ascii="Times New Roman" w:eastAsia="Times New Roman" w:hAnsi="Times New Roman" w:cs="David"/>
          <w:b/>
          <w:bCs/>
          <w:noProof/>
          <w:sz w:val="26"/>
          <w:szCs w:val="26"/>
          <w:rtl/>
        </w:rPr>
        <w:t xml:space="preserve"> </w:t>
      </w:r>
      <w:r w:rsidRPr="008D4727">
        <w:rPr>
          <w:rFonts w:ascii="Times New Roman" w:eastAsia="Times New Roman" w:hAnsi="Times New Roman" w:cs="David"/>
          <w:noProof/>
          <w:sz w:val="28"/>
          <w:szCs w:val="28"/>
          <w:rtl/>
        </w:rPr>
        <w:t>התרשמותנו הייתה שהתובעת העידה מדם ליבה, ואנו נותנים אמון בעדותה זו.</w:t>
      </w:r>
    </w:p>
    <w:p w:rsidR="008D4727" w:rsidRPr="008D4727" w:rsidRDefault="008D4727" w:rsidP="008D4727">
      <w:pPr>
        <w:spacing w:after="120" w:line="360" w:lineRule="auto"/>
        <w:ind w:left="360"/>
        <w:jc w:val="both"/>
        <w:rPr>
          <w:rFonts w:ascii="Times New Roman" w:eastAsia="Times New Roman" w:hAnsi="Times New Roman" w:cs="David"/>
          <w:b/>
          <w:bCs/>
          <w:noProof/>
          <w:sz w:val="26"/>
          <w:szCs w:val="26"/>
          <w:rtl/>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לאחר ששקלנו את טענות הצדדים, </w:t>
      </w:r>
      <w:r w:rsidRPr="008D4727">
        <w:rPr>
          <w:rFonts w:ascii="Times New Roman" w:eastAsia="Times New Roman" w:hAnsi="Times New Roman" w:cs="David" w:hint="cs"/>
          <w:noProof/>
          <w:sz w:val="28"/>
          <w:szCs w:val="28"/>
          <w:rtl/>
        </w:rPr>
        <w:t xml:space="preserve"> באנו לידי מסקנה ש</w:t>
      </w:r>
      <w:r w:rsidRPr="008D4727">
        <w:rPr>
          <w:rFonts w:ascii="Times New Roman" w:eastAsia="Times New Roman" w:hAnsi="Times New Roman" w:cs="David"/>
          <w:noProof/>
          <w:sz w:val="28"/>
          <w:szCs w:val="28"/>
          <w:rtl/>
        </w:rPr>
        <w:t xml:space="preserve">דין טענת הקיזוז להידחות, </w:t>
      </w:r>
      <w:r w:rsidRPr="008D4727">
        <w:rPr>
          <w:rFonts w:ascii="Times New Roman" w:eastAsia="Times New Roman" w:hAnsi="Times New Roman" w:cs="David" w:hint="cs"/>
          <w:noProof/>
          <w:sz w:val="28"/>
          <w:szCs w:val="28"/>
          <w:rtl/>
        </w:rPr>
        <w:t>וזאת בשל הנימוקים שדלקמן</w:t>
      </w:r>
      <w:r w:rsidRPr="008D4727">
        <w:rPr>
          <w:rFonts w:ascii="Times New Roman" w:eastAsia="Times New Roman" w:hAnsi="Times New Roman" w:cs="David"/>
          <w:noProof/>
          <w:sz w:val="28"/>
          <w:szCs w:val="28"/>
          <w:rtl/>
        </w:rPr>
        <w:t xml:space="preserve">: </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ראשית, הסעד המבוקש לא נתמך בטענות ובראיות מתאימות.</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כך, למשל, הנתבעת לא הוכיחה מהו ההסדר המוסכם או הנוהג לפינוי דירת שירות, במקרה של פיטורים לאלתר.</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lastRenderedPageBreak/>
        <w:t>בדומה לכך, הטענה כי בנה של התובעת התגורר בדירה, לא נתמכה בבדל ראיה, ואנו  מפנים להצהרתו של מר הייזלר כי עובדה זו אינה ידועה לו.</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זאת ועוד: אין בידנו לקבוע את המועד המדויק שבו פונתה הדירה. בחקירתה הנגדית בפנינו, אישרה התובעת כי חפציה נותרו בדירה במשך "חודשים ארוכים", אולם היא לא נשאלה על נסיבות הפינוי לרבות על מועדו.</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לצד זאת, הנתבעת לא הציגה ראיות קבילות ומשכנעות אשר למצבה הפיזי של הדירה במהלך החודשים שלאחר פיטורי התובעת, אשר לפעולות שבוצעו לשם בירור מצב ההחזקה בדירה, ואשר לנסיבות החזרת  החזקה בדירה לידיה. כאמור, עדי הנתבעת לא היו מצויים בפרטים</w:t>
      </w:r>
      <w:r w:rsidRPr="008D4727">
        <w:rPr>
          <w:rFonts w:ascii="Times New Roman" w:eastAsia="Times New Roman" w:hAnsi="Times New Roman" w:cs="David" w:hint="cs"/>
          <w:noProof/>
          <w:sz w:val="28"/>
          <w:szCs w:val="28"/>
          <w:rtl/>
        </w:rPr>
        <w:t>.</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 בדיון המוקדם ציין ב"כ הנתבעת כי "נוצר רושם" "שמתגורר מישהו בדירה ממשפחתה", וכי בסופו של דבר הנתבעת נאלצה לפרוץ לדירה. ברם, לא ברור מהו המועד שבו נפרצה הדירה, והאם במועד שבו נפרצה הדירה היו בה חפצים או שמא הייתה פנויה, וכיוצא באלו פרטים.</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על כן, אין בידנו לקבוע כי התובעת החזיקה בדירה במשך 11 חודשים לאחר פיטוריה.</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שנית, הנתבעת לא הבהירה על יסוד אלו נתונים חושב סכום הפיצוי שנתבע על-ידה, 14,300 ₪. כאשר נשאל על כך מר הייזלר בחקירתו הנגדית, לא היה בידיו לספק הסברים משכנעים.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התובעת העידה כי אם הבית החדשה ממילא התגוררה בדירה בבניין הסמוך, כך שבפועל לא נגרם לנתבעת נזק כלשהו. מר הייזלר אישר את הטענה כי גב' מלכה התגוררה בדירה אחרת, והוסיף כי הדירה מושא המחלוקת ריקה. ברם, הוא ציין כי הוא </w:t>
      </w:r>
      <w:r w:rsidRPr="008D4727">
        <w:rPr>
          <w:rFonts w:ascii="Times New Roman" w:eastAsia="Times New Roman" w:hAnsi="Times New Roman" w:cs="David"/>
          <w:b/>
          <w:bCs/>
          <w:noProof/>
          <w:sz w:val="28"/>
          <w:szCs w:val="28"/>
          <w:rtl/>
        </w:rPr>
        <w:t>משער</w:t>
      </w:r>
      <w:r w:rsidRPr="008D4727">
        <w:rPr>
          <w:rFonts w:ascii="Times New Roman" w:eastAsia="Times New Roman" w:hAnsi="Times New Roman" w:cs="David"/>
          <w:noProof/>
          <w:sz w:val="28"/>
          <w:szCs w:val="28"/>
          <w:rtl/>
        </w:rPr>
        <w:t xml:space="preserve"> כי אי פינויה, הייתה אחת הסיבות שהקשו על הנתבעת למצוא אם בית חדשה – סָתם ולא פירש.</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שלישית, וחשוב מכל, הנתבעת לא תוכל להיבנות מחוסר תום ליבה.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נזכיר כי התובעת פוטרה לאלתר, בחוסר תום לב: תוך הפלייתה, ללא שימוע, ותוך הותרה חודשים ארוכים ללא פיצויי הפיטורים להם הייתה זקוקה בדיוק לצורך התארגנות מחדש. </w:t>
      </w:r>
    </w:p>
    <w:p w:rsidR="008D4727" w:rsidRPr="008D4727" w:rsidRDefault="008D4727" w:rsidP="008D4727">
      <w:pPr>
        <w:spacing w:after="120" w:line="360" w:lineRule="auto"/>
        <w:ind w:left="72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כך, בנסיבות המקרה דנן,  אף </w:t>
      </w:r>
      <w:r w:rsidRPr="008D4727">
        <w:rPr>
          <w:rFonts w:ascii="Times New Roman" w:eastAsia="Times New Roman" w:hAnsi="Times New Roman" w:cs="David"/>
          <w:noProof/>
          <w:sz w:val="28"/>
          <w:szCs w:val="28"/>
          <w:u w:val="single"/>
          <w:rtl/>
        </w:rPr>
        <w:t>אילו</w:t>
      </w:r>
      <w:r w:rsidRPr="008D4727">
        <w:rPr>
          <w:rFonts w:ascii="Times New Roman" w:eastAsia="Times New Roman" w:hAnsi="Times New Roman" w:cs="David"/>
          <w:noProof/>
          <w:sz w:val="28"/>
          <w:szCs w:val="28"/>
          <w:rtl/>
        </w:rPr>
        <w:t xml:space="preserve"> הוכחה ההפרה על פרטיה, הרי חוסר תום ליבה של הנתבעת מקשים עד מאוד להעניק לה תרופות בזיקה להותרת </w:t>
      </w:r>
      <w:r w:rsidRPr="008D4727">
        <w:rPr>
          <w:rFonts w:ascii="Times New Roman" w:eastAsia="Times New Roman" w:hAnsi="Times New Roman" w:cs="David"/>
          <w:noProof/>
          <w:sz w:val="28"/>
          <w:szCs w:val="28"/>
          <w:rtl/>
        </w:rPr>
        <w:lastRenderedPageBreak/>
        <w:t xml:space="preserve">החפצים בדירה [על נפקויותיה השונות של הפרת חובת תום הלב, עיינו: </w:t>
      </w:r>
      <w:hyperlink r:id="rId53" w:history="1">
        <w:r w:rsidRPr="008D4727">
          <w:rPr>
            <w:rFonts w:ascii="Times New Roman" w:eastAsia="Times New Roman" w:hAnsi="Times New Roman" w:cs="David"/>
            <w:noProof/>
            <w:color w:val="0000FF"/>
            <w:sz w:val="28"/>
            <w:szCs w:val="28"/>
            <w:u w:val="single"/>
            <w:rtl/>
          </w:rPr>
          <w:t>ע"א 59/80 שירותי תחבורה ציבוריים באר-שבע – בית הדין הארצי לעבודה, פ"ד לח</w:t>
        </w:r>
      </w:hyperlink>
      <w:r w:rsidRPr="008D4727">
        <w:rPr>
          <w:rFonts w:ascii="Times New Roman" w:eastAsia="Times New Roman" w:hAnsi="Times New Roman" w:cs="David"/>
          <w:noProof/>
          <w:sz w:val="28"/>
          <w:szCs w:val="28"/>
          <w:rtl/>
        </w:rPr>
        <w:t>(1) 828, בעמ' 838-839].</w:t>
      </w:r>
    </w:p>
    <w:p w:rsidR="008D4727" w:rsidRPr="008D4727" w:rsidRDefault="008D4727" w:rsidP="008D4727">
      <w:pPr>
        <w:numPr>
          <w:ilvl w:val="1"/>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b/>
          <w:bCs/>
          <w:noProof/>
          <w:sz w:val="28"/>
          <w:szCs w:val="28"/>
          <w:rtl/>
        </w:rPr>
        <w:t>בסיכום הדברים</w:t>
      </w:r>
      <w:r w:rsidRPr="008D4727">
        <w:rPr>
          <w:rFonts w:ascii="Times New Roman" w:eastAsia="Times New Roman" w:hAnsi="Times New Roman" w:cs="David"/>
          <w:noProof/>
          <w:sz w:val="28"/>
          <w:szCs w:val="28"/>
          <w:rtl/>
        </w:rPr>
        <w:t>: לאור הטעמים לעיל, במצטבר, מצאנו לדחות את טענת הקיזוז שהעלתה הנתבעת.</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p>
    <w:p w:rsidR="008D4727" w:rsidRPr="008D4727" w:rsidRDefault="008D4727" w:rsidP="008D4727">
      <w:pPr>
        <w:spacing w:after="120" w:line="360" w:lineRule="auto"/>
        <w:jc w:val="both"/>
        <w:rPr>
          <w:rFonts w:ascii="Times New Roman" w:eastAsia="Times New Roman" w:hAnsi="Times New Roman" w:cs="David"/>
          <w:b/>
          <w:bCs/>
          <w:noProof/>
          <w:sz w:val="28"/>
          <w:szCs w:val="28"/>
          <w:u w:val="single"/>
        </w:rPr>
      </w:pPr>
      <w:r w:rsidRPr="008D4727">
        <w:rPr>
          <w:rFonts w:ascii="Times New Roman" w:eastAsia="Times New Roman" w:hAnsi="Times New Roman" w:cs="David"/>
          <w:b/>
          <w:bCs/>
          <w:noProof/>
          <w:sz w:val="28"/>
          <w:szCs w:val="28"/>
          <w:u w:val="single"/>
          <w:rtl/>
        </w:rPr>
        <w:t>אחרית דבר</w:t>
      </w: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לאור כל האמור לעיל, כאמור, התביעה מתקבלת בחלקה.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r w:rsidRPr="008D4727">
        <w:rPr>
          <w:rFonts w:ascii="Times New Roman" w:eastAsia="Times New Roman" w:hAnsi="Times New Roman" w:cs="David"/>
          <w:noProof/>
          <w:sz w:val="28"/>
          <w:szCs w:val="28"/>
          <w:rtl/>
        </w:rPr>
        <w:t xml:space="preserve">על הנתבעת לשלם לתובעת, את הסכומים הבאים: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בגין פיטורי התובעת שלא כדין, סך של </w:t>
      </w:r>
      <w:r w:rsidRPr="008D4727">
        <w:rPr>
          <w:rFonts w:ascii="Times New Roman" w:eastAsia="Times New Roman" w:hAnsi="Times New Roman" w:cs="David" w:hint="cs"/>
          <w:noProof/>
          <w:sz w:val="28"/>
          <w:szCs w:val="28"/>
          <w:rtl/>
        </w:rPr>
        <w:t>96</w:t>
      </w:r>
      <w:r w:rsidRPr="008D4727">
        <w:rPr>
          <w:rFonts w:ascii="Times New Roman" w:eastAsia="Times New Roman" w:hAnsi="Times New Roman" w:cs="David"/>
          <w:noProof/>
          <w:sz w:val="28"/>
          <w:szCs w:val="28"/>
          <w:rtl/>
        </w:rPr>
        <w:t>,000 ₪; הפרשי תמורת הודעה מוקדמת בסך של 5,993 ₪; הפרשי פיצויי פיטורים בסך של 7,927 ₪; ופיצויי הלנת פיצויי פיטורים בסך של 25,000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 xml:space="preserve">בשים לב למכלול נסיבות העניין, לרבות העובדה שהסכומים שנפסקו לתובעת נמוכים משמעותית מן הסכומים שתבעה, אנו מורים כי הנתבעת תשלם לתובעת הוצאות משפט בסך </w:t>
      </w:r>
      <w:r w:rsidRPr="008D4727">
        <w:rPr>
          <w:rFonts w:ascii="Times New Roman" w:eastAsia="Times New Roman" w:hAnsi="Times New Roman" w:cs="David" w:hint="cs"/>
          <w:noProof/>
          <w:sz w:val="28"/>
          <w:szCs w:val="28"/>
          <w:rtl/>
        </w:rPr>
        <w:t>4,000</w:t>
      </w:r>
      <w:r w:rsidRPr="008D4727">
        <w:rPr>
          <w:rFonts w:ascii="Times New Roman" w:eastAsia="Times New Roman" w:hAnsi="Times New Roman" w:cs="David"/>
          <w:noProof/>
          <w:sz w:val="28"/>
          <w:szCs w:val="28"/>
          <w:rtl/>
        </w:rPr>
        <w:t xml:space="preserve"> ₪, ושכ"ט עו"ד בסך </w:t>
      </w:r>
      <w:r w:rsidRPr="008D4727">
        <w:rPr>
          <w:rFonts w:ascii="Times New Roman" w:eastAsia="Times New Roman" w:hAnsi="Times New Roman" w:cs="David" w:hint="cs"/>
          <w:noProof/>
          <w:sz w:val="28"/>
          <w:szCs w:val="28"/>
          <w:rtl/>
        </w:rPr>
        <w:t>8,000</w:t>
      </w:r>
      <w:r w:rsidRPr="008D4727">
        <w:rPr>
          <w:rFonts w:ascii="Times New Roman" w:eastAsia="Times New Roman" w:hAnsi="Times New Roman" w:cs="David"/>
          <w:noProof/>
          <w:sz w:val="28"/>
          <w:szCs w:val="28"/>
          <w:rtl/>
        </w:rPr>
        <w:t xml:space="preserve"> ₪.</w:t>
      </w:r>
    </w:p>
    <w:p w:rsidR="008D4727" w:rsidRPr="008D4727" w:rsidRDefault="008D4727" w:rsidP="008D4727">
      <w:pPr>
        <w:spacing w:after="120" w:line="360" w:lineRule="auto"/>
        <w:ind w:left="360"/>
        <w:jc w:val="both"/>
        <w:rPr>
          <w:rFonts w:ascii="Times New Roman" w:eastAsia="Times New Roman" w:hAnsi="Times New Roman" w:cs="David"/>
          <w:noProof/>
          <w:sz w:val="28"/>
          <w:szCs w:val="28"/>
          <w:rtl/>
        </w:rPr>
      </w:pPr>
    </w:p>
    <w:p w:rsidR="008D4727" w:rsidRPr="008D4727" w:rsidRDefault="008D4727" w:rsidP="008D4727">
      <w:pPr>
        <w:numPr>
          <w:ilvl w:val="0"/>
          <w:numId w:val="1"/>
        </w:numPr>
        <w:spacing w:after="120" w:line="360" w:lineRule="auto"/>
        <w:jc w:val="both"/>
        <w:rPr>
          <w:rFonts w:ascii="Times New Roman" w:eastAsia="Times New Roman" w:hAnsi="Times New Roman" w:cs="David"/>
          <w:noProof/>
          <w:sz w:val="28"/>
          <w:szCs w:val="28"/>
        </w:rPr>
      </w:pPr>
      <w:r w:rsidRPr="008D4727">
        <w:rPr>
          <w:rFonts w:ascii="Times New Roman" w:eastAsia="Times New Roman" w:hAnsi="Times New Roman" w:cs="David"/>
          <w:noProof/>
          <w:sz w:val="28"/>
          <w:szCs w:val="28"/>
          <w:rtl/>
        </w:rPr>
        <w:t>במידה ומי מן הצדדים יבקש לערער על פסק דין זה, עליו להגיש ערעור לבית הדין הארצי לעבודה בירושלים, זאת תוך 30 ימים מקבלת פסק הדין.</w:t>
      </w:r>
    </w:p>
    <w:p w:rsidR="008D4727" w:rsidRPr="008D4727" w:rsidRDefault="008D4727" w:rsidP="008D4727">
      <w:pPr>
        <w:spacing w:after="0" w:line="360" w:lineRule="auto"/>
        <w:jc w:val="both"/>
        <w:rPr>
          <w:rFonts w:ascii="Arial" w:eastAsia="Times New Roman" w:hAnsi="Arial" w:cs="David"/>
          <w:b/>
          <w:bCs/>
          <w:noProof/>
          <w:sz w:val="28"/>
          <w:szCs w:val="28"/>
          <w:rtl/>
        </w:rPr>
      </w:pPr>
    </w:p>
    <w:p w:rsidR="008D4727" w:rsidRPr="008D4727" w:rsidRDefault="008D4727" w:rsidP="008D4727">
      <w:pPr>
        <w:spacing w:after="0" w:line="240" w:lineRule="auto"/>
        <w:rPr>
          <w:rFonts w:ascii="Times New Roman" w:eastAsia="Times New Roman" w:hAnsi="Times New Roman" w:cs="David"/>
          <w:noProof/>
          <w:sz w:val="24"/>
          <w:szCs w:val="24"/>
          <w:rtl/>
        </w:rPr>
      </w:pPr>
      <w:r w:rsidRPr="008D4727">
        <w:rPr>
          <w:rFonts w:ascii="Arial" w:eastAsia="Times New Roman" w:hAnsi="Arial" w:cs="David"/>
          <w:b/>
          <w:bCs/>
          <w:sz w:val="28"/>
          <w:szCs w:val="28"/>
          <w:rtl/>
        </w:rPr>
        <w:t xml:space="preserve">ניתן היום, ‏י"ז ניסן תשע"ה, 06 אפריל 2015, בהעדר הצדדים ויישלח אליהם. </w:t>
      </w:r>
    </w:p>
    <w:p w:rsidR="008D4727" w:rsidRPr="008D4727" w:rsidRDefault="008D4727" w:rsidP="008D4727">
      <w:pPr>
        <w:spacing w:after="0" w:line="240" w:lineRule="auto"/>
        <w:rPr>
          <w:rFonts w:ascii="Times New Roman" w:eastAsia="Times New Roman" w:hAnsi="Times New Roman" w:cs="David"/>
          <w:noProof/>
          <w:sz w:val="24"/>
          <w:szCs w:val="24"/>
          <w:rtl/>
        </w:rPr>
      </w:pPr>
    </w:p>
    <w:p w:rsidR="008D4727" w:rsidRPr="008D4727" w:rsidRDefault="008D4727" w:rsidP="008D4727">
      <w:pPr>
        <w:spacing w:after="0" w:line="360" w:lineRule="auto"/>
        <w:rPr>
          <w:rFonts w:ascii="Times New Roman" w:eastAsia="Times New Roman" w:hAnsi="Times New Roman" w:cs="David"/>
          <w:b/>
          <w:bCs/>
          <w:noProof/>
          <w:color w:val="FFFFFF"/>
          <w:sz w:val="2"/>
          <w:szCs w:val="2"/>
        </w:rPr>
      </w:pPr>
      <w:r w:rsidRPr="008D4727">
        <w:rPr>
          <w:rFonts w:ascii="Times New Roman" w:eastAsia="Times New Roman" w:hAnsi="Times New Roman" w:cs="David"/>
          <w:noProof/>
          <w:color w:val="FFFFFF"/>
          <w:sz w:val="2"/>
          <w:szCs w:val="2"/>
          <w:rtl/>
        </w:rPr>
        <w:t>5129371</w:t>
      </w:r>
      <w:r w:rsidRPr="008D4727">
        <w:rPr>
          <w:rFonts w:ascii="Times New Roman" w:eastAsia="Times New Roman" w:hAnsi="Times New Roman" w:cs="David" w:hint="cs"/>
          <w:noProof/>
          <w:color w:val="FFFFFF"/>
          <w:sz w:val="2"/>
          <w:szCs w:val="2"/>
          <w:rtl/>
        </w:rPr>
        <w:t xml:space="preserve">     </w:t>
      </w:r>
      <w:r w:rsidRPr="008D4727">
        <w:rPr>
          <w:rFonts w:ascii="Times New Roman" w:eastAsia="Times New Roman" w:hAnsi="Times New Roman" w:cs="David" w:hint="cs"/>
          <w:noProof/>
          <w:color w:val="FFFFFF"/>
          <w:sz w:val="2"/>
          <w:szCs w:val="2"/>
          <w:rtl/>
        </w:rPr>
        <w:tab/>
        <w:t xml:space="preserve">  </w:t>
      </w:r>
      <w:r w:rsidRPr="008D4727">
        <w:rPr>
          <w:rFonts w:ascii="Times New Roman" w:eastAsia="Times New Roman" w:hAnsi="Times New Roman" w:cs="David" w:hint="cs"/>
          <w:b/>
          <w:bCs/>
          <w:noProof/>
          <w:color w:val="FFFFFF"/>
          <w:sz w:val="2"/>
          <w:szCs w:val="2"/>
          <w:rtl/>
        </w:rPr>
        <w:tab/>
        <w:t xml:space="preserve">     </w:t>
      </w:r>
    </w:p>
    <w:tbl>
      <w:tblPr>
        <w:bidiVisual/>
        <w:tblW w:w="8705" w:type="dxa"/>
        <w:tblLook w:val="04A0" w:firstRow="1" w:lastRow="0" w:firstColumn="1" w:lastColumn="0" w:noHBand="0" w:noVBand="1"/>
      </w:tblPr>
      <w:tblGrid>
        <w:gridCol w:w="2609"/>
        <w:gridCol w:w="425"/>
        <w:gridCol w:w="2410"/>
        <w:gridCol w:w="567"/>
        <w:gridCol w:w="2694"/>
      </w:tblGrid>
      <w:tr w:rsidR="008D4727" w:rsidRPr="008D4727" w:rsidTr="0074655E">
        <w:tc>
          <w:tcPr>
            <w:tcW w:w="2609" w:type="dxa"/>
            <w:tcBorders>
              <w:top w:val="single" w:sz="4" w:space="0" w:color="auto"/>
              <w:left w:val="nil"/>
              <w:bottom w:val="nil"/>
              <w:right w:val="nil"/>
            </w:tcBorders>
          </w:tcPr>
          <w:p w:rsidR="008D4727" w:rsidRPr="008D4727" w:rsidRDefault="008D4727" w:rsidP="008D4727">
            <w:pPr>
              <w:spacing w:after="0" w:line="240" w:lineRule="auto"/>
              <w:jc w:val="center"/>
              <w:rPr>
                <w:rFonts w:ascii="Times New Roman" w:eastAsia="Times New Roman" w:hAnsi="Times New Roman" w:cs="David"/>
                <w:b/>
                <w:bCs/>
                <w:noProof/>
                <w:sz w:val="28"/>
                <w:szCs w:val="28"/>
                <w:rtl/>
              </w:rPr>
            </w:pPr>
            <w:r w:rsidRPr="008D4727">
              <w:rPr>
                <w:rFonts w:ascii="Times New Roman" w:eastAsia="Times New Roman" w:hAnsi="Times New Roman" w:cs="David"/>
                <w:b/>
                <w:bCs/>
                <w:noProof/>
                <w:color w:val="FFFFFF"/>
                <w:sz w:val="2"/>
                <w:szCs w:val="2"/>
                <w:rtl/>
              </w:rPr>
              <w:t>54678313</w:t>
            </w:r>
            <w:r w:rsidRPr="008D4727">
              <w:rPr>
                <w:rFonts w:ascii="Times New Roman" w:eastAsia="Times New Roman" w:hAnsi="Times New Roman" w:cs="David" w:hint="cs"/>
                <w:b/>
                <w:bCs/>
                <w:noProof/>
                <w:sz w:val="28"/>
                <w:szCs w:val="28"/>
                <w:rtl/>
              </w:rPr>
              <w:t>גב' יפה קריספיל</w:t>
            </w:r>
          </w:p>
          <w:p w:rsidR="008D4727" w:rsidRPr="008D4727" w:rsidRDefault="008D4727" w:rsidP="008D4727">
            <w:pPr>
              <w:spacing w:after="0" w:line="240" w:lineRule="auto"/>
              <w:jc w:val="center"/>
              <w:rPr>
                <w:rFonts w:ascii="Times New Roman" w:eastAsia="Times New Roman" w:hAnsi="Times New Roman" w:cs="David"/>
                <w:b/>
                <w:bCs/>
                <w:noProof/>
                <w:sz w:val="28"/>
                <w:szCs w:val="28"/>
              </w:rPr>
            </w:pPr>
            <w:r w:rsidRPr="008D4727">
              <w:rPr>
                <w:rFonts w:ascii="Times New Roman" w:eastAsia="Times New Roman" w:hAnsi="Times New Roman" w:cs="David" w:hint="cs"/>
                <w:b/>
                <w:bCs/>
                <w:noProof/>
                <w:sz w:val="28"/>
                <w:szCs w:val="28"/>
                <w:rtl/>
              </w:rPr>
              <w:t>נציגת ציבור (עובדים)</w:t>
            </w:r>
          </w:p>
        </w:tc>
        <w:tc>
          <w:tcPr>
            <w:tcW w:w="425" w:type="dxa"/>
          </w:tcPr>
          <w:p w:rsidR="008D4727" w:rsidRPr="008D4727" w:rsidRDefault="008D4727" w:rsidP="008D4727">
            <w:pPr>
              <w:spacing w:after="0" w:line="240" w:lineRule="auto"/>
              <w:rPr>
                <w:rFonts w:ascii="Times New Roman" w:eastAsia="Times New Roman" w:hAnsi="Times New Roman" w:cs="David"/>
                <w:b/>
                <w:bCs/>
                <w:noProof/>
                <w:sz w:val="28"/>
                <w:szCs w:val="28"/>
              </w:rPr>
            </w:pPr>
          </w:p>
        </w:tc>
        <w:tc>
          <w:tcPr>
            <w:tcW w:w="2410" w:type="dxa"/>
            <w:tcBorders>
              <w:top w:val="single" w:sz="4" w:space="0" w:color="auto"/>
              <w:left w:val="nil"/>
              <w:bottom w:val="nil"/>
              <w:right w:val="nil"/>
            </w:tcBorders>
          </w:tcPr>
          <w:p w:rsidR="008D4727" w:rsidRPr="008D4727" w:rsidRDefault="008D4727" w:rsidP="008D4727">
            <w:pPr>
              <w:spacing w:after="0" w:line="240" w:lineRule="auto"/>
              <w:jc w:val="center"/>
              <w:rPr>
                <w:rFonts w:ascii="Times New Roman" w:eastAsia="Times New Roman" w:hAnsi="Times New Roman" w:cs="David"/>
                <w:b/>
                <w:bCs/>
                <w:noProof/>
                <w:sz w:val="28"/>
                <w:szCs w:val="28"/>
                <w:rtl/>
              </w:rPr>
            </w:pPr>
            <w:r w:rsidRPr="008D4727">
              <w:rPr>
                <w:rFonts w:ascii="Times New Roman" w:eastAsia="Times New Roman" w:hAnsi="Times New Roman" w:cs="David" w:hint="cs"/>
                <w:b/>
                <w:bCs/>
                <w:noProof/>
                <w:sz w:val="28"/>
                <w:szCs w:val="28"/>
                <w:rtl/>
              </w:rPr>
              <w:t>ורד שפר, שופטת</w:t>
            </w:r>
          </w:p>
          <w:p w:rsidR="008D4727" w:rsidRPr="008D4727" w:rsidRDefault="008D4727" w:rsidP="008D4727">
            <w:pPr>
              <w:spacing w:after="0" w:line="240" w:lineRule="auto"/>
              <w:jc w:val="center"/>
              <w:rPr>
                <w:rFonts w:ascii="Times New Roman" w:eastAsia="Times New Roman" w:hAnsi="Times New Roman" w:cs="David"/>
                <w:b/>
                <w:bCs/>
                <w:noProof/>
                <w:sz w:val="28"/>
                <w:szCs w:val="28"/>
              </w:rPr>
            </w:pPr>
            <w:r w:rsidRPr="008D4727">
              <w:rPr>
                <w:rFonts w:ascii="Times New Roman" w:eastAsia="Times New Roman" w:hAnsi="Times New Roman" w:cs="David" w:hint="cs"/>
                <w:b/>
                <w:bCs/>
                <w:noProof/>
                <w:sz w:val="28"/>
                <w:szCs w:val="28"/>
                <w:rtl/>
              </w:rPr>
              <w:t>נשיאה</w:t>
            </w:r>
          </w:p>
        </w:tc>
        <w:tc>
          <w:tcPr>
            <w:tcW w:w="567" w:type="dxa"/>
          </w:tcPr>
          <w:p w:rsidR="008D4727" w:rsidRPr="008D4727" w:rsidRDefault="008D4727" w:rsidP="008D4727">
            <w:pPr>
              <w:spacing w:after="0" w:line="240" w:lineRule="auto"/>
              <w:rPr>
                <w:rFonts w:ascii="Times New Roman" w:eastAsia="Times New Roman" w:hAnsi="Times New Roman" w:cs="David"/>
                <w:b/>
                <w:bCs/>
                <w:noProof/>
                <w:sz w:val="28"/>
                <w:szCs w:val="28"/>
              </w:rPr>
            </w:pPr>
          </w:p>
        </w:tc>
        <w:tc>
          <w:tcPr>
            <w:tcW w:w="2694" w:type="dxa"/>
            <w:tcBorders>
              <w:top w:val="single" w:sz="4" w:space="0" w:color="auto"/>
              <w:left w:val="nil"/>
              <w:bottom w:val="nil"/>
              <w:right w:val="nil"/>
            </w:tcBorders>
          </w:tcPr>
          <w:p w:rsidR="008D4727" w:rsidRPr="008D4727" w:rsidRDefault="008D4727" w:rsidP="008D4727">
            <w:pPr>
              <w:spacing w:after="0" w:line="240" w:lineRule="auto"/>
              <w:jc w:val="center"/>
              <w:rPr>
                <w:rFonts w:ascii="Times New Roman" w:eastAsia="Times New Roman" w:hAnsi="Times New Roman" w:cs="David"/>
                <w:b/>
                <w:bCs/>
                <w:noProof/>
                <w:sz w:val="28"/>
                <w:szCs w:val="28"/>
                <w:rtl/>
              </w:rPr>
            </w:pPr>
            <w:r w:rsidRPr="008D4727">
              <w:rPr>
                <w:rFonts w:ascii="Times New Roman" w:eastAsia="Times New Roman" w:hAnsi="Times New Roman" w:cs="David" w:hint="cs"/>
                <w:b/>
                <w:bCs/>
                <w:noProof/>
                <w:sz w:val="28"/>
                <w:szCs w:val="28"/>
                <w:rtl/>
              </w:rPr>
              <w:t>מר דב רוזנברג</w:t>
            </w:r>
          </w:p>
          <w:p w:rsidR="008D4727" w:rsidRPr="008D4727" w:rsidRDefault="008D4727" w:rsidP="008D4727">
            <w:pPr>
              <w:spacing w:after="0" w:line="240" w:lineRule="auto"/>
              <w:jc w:val="center"/>
              <w:rPr>
                <w:rFonts w:ascii="Times New Roman" w:eastAsia="Times New Roman" w:hAnsi="Times New Roman" w:cs="David"/>
                <w:b/>
                <w:bCs/>
                <w:noProof/>
                <w:sz w:val="28"/>
                <w:szCs w:val="28"/>
              </w:rPr>
            </w:pPr>
            <w:r w:rsidRPr="008D4727">
              <w:rPr>
                <w:rFonts w:ascii="Times New Roman" w:eastAsia="Times New Roman" w:hAnsi="Times New Roman" w:cs="David" w:hint="cs"/>
                <w:b/>
                <w:bCs/>
                <w:noProof/>
                <w:sz w:val="28"/>
                <w:szCs w:val="28"/>
                <w:rtl/>
              </w:rPr>
              <w:t>נציג ציבור (מעסיקים)</w:t>
            </w:r>
          </w:p>
        </w:tc>
      </w:tr>
    </w:tbl>
    <w:p w:rsidR="008D4727" w:rsidRPr="008D4727" w:rsidRDefault="008D4727" w:rsidP="008D4727">
      <w:pPr>
        <w:spacing w:after="0" w:line="240" w:lineRule="auto"/>
        <w:rPr>
          <w:rFonts w:ascii="Times New Roman" w:eastAsia="Times New Roman" w:hAnsi="Times New Roman" w:cs="David"/>
          <w:noProof/>
          <w:color w:val="FFFFFF"/>
          <w:sz w:val="2"/>
          <w:szCs w:val="2"/>
        </w:rPr>
      </w:pPr>
      <w:r w:rsidRPr="008D4727">
        <w:rPr>
          <w:rFonts w:ascii="Times New Roman" w:eastAsia="Times New Roman" w:hAnsi="Times New Roman" w:cs="David"/>
          <w:noProof/>
          <w:color w:val="FFFFFF"/>
          <w:sz w:val="2"/>
          <w:szCs w:val="2"/>
          <w:rtl/>
        </w:rPr>
        <w:t>5129371</w:t>
      </w:r>
    </w:p>
    <w:p w:rsidR="008D4727" w:rsidRPr="008D4727" w:rsidRDefault="008D4727" w:rsidP="008D4727">
      <w:pPr>
        <w:keepNext/>
        <w:spacing w:after="0" w:line="240" w:lineRule="auto"/>
        <w:rPr>
          <w:rFonts w:ascii="David" w:eastAsia="Times New Roman" w:hAnsi="David" w:cs="David"/>
          <w:noProof/>
          <w:color w:val="FFFFFF"/>
          <w:sz w:val="2"/>
          <w:szCs w:val="2"/>
          <w:rtl/>
        </w:rPr>
      </w:pPr>
      <w:r w:rsidRPr="008D4727">
        <w:rPr>
          <w:rFonts w:ascii="David" w:eastAsia="Times New Roman" w:hAnsi="David" w:cs="David"/>
          <w:noProof/>
          <w:color w:val="FFFFFF"/>
          <w:sz w:val="2"/>
          <w:szCs w:val="2"/>
          <w:rtl/>
        </w:rPr>
        <w:t>54678313</w:t>
      </w:r>
    </w:p>
    <w:p w:rsidR="008D4727" w:rsidRPr="008D4727" w:rsidRDefault="008D4727" w:rsidP="008D4727">
      <w:pPr>
        <w:keepNext/>
        <w:spacing w:after="0" w:line="240" w:lineRule="auto"/>
        <w:rPr>
          <w:rFonts w:ascii="David" w:eastAsia="Times New Roman" w:hAnsi="David" w:cs="David"/>
          <w:noProof/>
          <w:color w:val="000000"/>
          <w:rtl/>
        </w:rPr>
      </w:pPr>
    </w:p>
    <w:p w:rsidR="008D4727" w:rsidRPr="008D4727" w:rsidRDefault="008D4727" w:rsidP="008D4727">
      <w:pPr>
        <w:keepNext/>
        <w:spacing w:after="0" w:line="240" w:lineRule="auto"/>
        <w:rPr>
          <w:rFonts w:ascii="David" w:eastAsia="Times New Roman" w:hAnsi="David" w:cs="David"/>
          <w:noProof/>
          <w:color w:val="000000"/>
          <w:rtl/>
        </w:rPr>
      </w:pPr>
    </w:p>
    <w:p w:rsidR="008D4727" w:rsidRPr="008D4727" w:rsidRDefault="008D4727" w:rsidP="008D4727">
      <w:pPr>
        <w:keepNext/>
        <w:spacing w:after="0" w:line="240" w:lineRule="auto"/>
        <w:rPr>
          <w:rFonts w:ascii="David" w:eastAsia="Times New Roman" w:hAnsi="David" w:cs="David"/>
          <w:noProof/>
          <w:color w:val="000000"/>
          <w:rtl/>
        </w:rPr>
      </w:pPr>
    </w:p>
    <w:p w:rsidR="008D4727" w:rsidRPr="008D4727" w:rsidRDefault="008D4727" w:rsidP="008D4727">
      <w:pPr>
        <w:keepNext/>
        <w:spacing w:after="0" w:line="240" w:lineRule="auto"/>
        <w:rPr>
          <w:rFonts w:ascii="David" w:eastAsia="Times New Roman" w:hAnsi="David" w:cs="David"/>
          <w:noProof/>
          <w:color w:val="000000"/>
          <w:rtl/>
        </w:rPr>
      </w:pPr>
      <w:r w:rsidRPr="008D4727">
        <w:rPr>
          <w:rFonts w:ascii="David" w:eastAsia="Times New Roman" w:hAnsi="David" w:cs="David"/>
          <w:noProof/>
          <w:color w:val="000000"/>
          <w:rtl/>
        </w:rPr>
        <w:t>ורד שפר 54678313-/</w:t>
      </w:r>
    </w:p>
    <w:p w:rsidR="008D4727" w:rsidRPr="008D4727" w:rsidRDefault="008D4727" w:rsidP="008D4727">
      <w:pPr>
        <w:spacing w:after="0" w:line="240" w:lineRule="auto"/>
        <w:rPr>
          <w:rFonts w:ascii="Times New Roman" w:eastAsia="Times New Roman" w:hAnsi="Times New Roman" w:cs="David"/>
          <w:noProof/>
          <w:color w:val="0000FF"/>
          <w:sz w:val="24"/>
          <w:szCs w:val="24"/>
          <w:u w:val="single"/>
        </w:rPr>
      </w:pPr>
      <w:r w:rsidRPr="008D4727">
        <w:rPr>
          <w:rFonts w:ascii="Times New Roman" w:eastAsia="Times New Roman" w:hAnsi="Times New Roman" w:cs="David"/>
          <w:noProof/>
          <w:color w:val="000000"/>
          <w:sz w:val="24"/>
          <w:szCs w:val="24"/>
          <w:u w:val="single"/>
          <w:rtl/>
        </w:rPr>
        <w:t>נוסח מסמך זה כפוף לשינויי ניסוח ועריכה</w:t>
      </w:r>
    </w:p>
    <w:p w:rsidR="008D4727" w:rsidRPr="008D4727" w:rsidRDefault="008D4727" w:rsidP="008D4727">
      <w:pPr>
        <w:spacing w:after="0" w:line="240" w:lineRule="auto"/>
        <w:rPr>
          <w:rFonts w:ascii="Times New Roman" w:eastAsia="Times New Roman" w:hAnsi="Times New Roman" w:cs="David"/>
          <w:noProof/>
          <w:sz w:val="24"/>
          <w:szCs w:val="24"/>
        </w:rPr>
      </w:pPr>
    </w:p>
    <w:p w:rsidR="008D4727" w:rsidRPr="008D4727" w:rsidRDefault="008D4727" w:rsidP="008D4727">
      <w:pPr>
        <w:spacing w:after="0" w:line="240" w:lineRule="auto"/>
        <w:rPr>
          <w:rFonts w:ascii="Times New Roman" w:eastAsia="Times New Roman" w:hAnsi="Times New Roman" w:cs="David"/>
          <w:noProof/>
          <w:sz w:val="24"/>
          <w:szCs w:val="24"/>
          <w:rtl/>
        </w:rPr>
      </w:pPr>
    </w:p>
    <w:p w:rsidR="008D4727" w:rsidRPr="008D4727" w:rsidRDefault="00583680" w:rsidP="008D4727">
      <w:pPr>
        <w:spacing w:after="0" w:line="240" w:lineRule="auto"/>
        <w:jc w:val="center"/>
        <w:rPr>
          <w:rFonts w:ascii="Times New Roman" w:eastAsia="Times New Roman" w:hAnsi="Times New Roman" w:cs="David"/>
          <w:noProof/>
          <w:color w:val="0000FF"/>
          <w:sz w:val="24"/>
          <w:szCs w:val="24"/>
          <w:u w:val="single"/>
        </w:rPr>
      </w:pPr>
      <w:hyperlink r:id="rId54" w:history="1">
        <w:r w:rsidR="008D4727" w:rsidRPr="008D4727">
          <w:rPr>
            <w:rFonts w:ascii="Times New Roman" w:eastAsia="Times New Roman" w:hAnsi="Times New Roman" w:cs="David"/>
            <w:noProof/>
            <w:color w:val="0000FF"/>
            <w:sz w:val="24"/>
            <w:szCs w:val="24"/>
            <w:u w:val="single"/>
            <w:rtl/>
          </w:rPr>
          <w:t>בעניין עריכה ושינויים במסמכי פסיקה, חקיקה ועוד באתר נבו – הקש כאן</w:t>
        </w:r>
      </w:hyperlink>
    </w:p>
    <w:p w:rsidR="008D4727" w:rsidRPr="008D4727" w:rsidRDefault="008D4727" w:rsidP="008D4727">
      <w:pPr>
        <w:keepNext/>
        <w:spacing w:after="0" w:line="240" w:lineRule="auto"/>
        <w:rPr>
          <w:rFonts w:ascii="David" w:eastAsia="Times New Roman" w:hAnsi="David" w:cs="David"/>
          <w:noProof/>
          <w:color w:val="000000"/>
          <w:rtl/>
        </w:rPr>
      </w:pPr>
    </w:p>
    <w:p w:rsidR="00CE601C" w:rsidRDefault="00583680"/>
    <w:sectPr w:rsidR="00CE601C" w:rsidSect="006F39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C73"/>
    <w:multiLevelType w:val="hybridMultilevel"/>
    <w:tmpl w:val="6100AF60"/>
    <w:lvl w:ilvl="0" w:tplc="38DE3010">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8232C75"/>
    <w:multiLevelType w:val="hybridMultilevel"/>
    <w:tmpl w:val="02D04DFA"/>
    <w:lvl w:ilvl="0" w:tplc="EA02087E">
      <w:start w:val="1"/>
      <w:numFmt w:val="decimal"/>
      <w:lvlText w:val="%1."/>
      <w:lvlJc w:val="left"/>
      <w:pPr>
        <w:tabs>
          <w:tab w:val="num" w:pos="360"/>
        </w:tabs>
        <w:ind w:left="360" w:hanging="360"/>
      </w:pPr>
      <w:rPr>
        <w:rFonts w:cs="David" w:hint="default"/>
        <w:b w:val="0"/>
        <w:bCs w:val="0"/>
        <w:strike w:val="0"/>
        <w:sz w:val="28"/>
        <w:szCs w:val="28"/>
      </w:rPr>
    </w:lvl>
    <w:lvl w:ilvl="1" w:tplc="689C8602">
      <w:start w:val="1"/>
      <w:numFmt w:val="hebrew1"/>
      <w:lvlText w:val="%2."/>
      <w:lvlJc w:val="center"/>
      <w:pPr>
        <w:tabs>
          <w:tab w:val="num" w:pos="720"/>
        </w:tabs>
        <w:ind w:left="720" w:hanging="360"/>
      </w:pPr>
      <w:rPr>
        <w:rFonts w:cs="David"/>
        <w:b/>
      </w:rPr>
    </w:lvl>
    <w:lvl w:ilvl="2" w:tplc="04090011">
      <w:start w:val="1"/>
      <w:numFmt w:val="decimal"/>
      <w:lvlText w:val="%3)"/>
      <w:lvlJc w:val="left"/>
      <w:pPr>
        <w:tabs>
          <w:tab w:val="num" w:pos="1068"/>
        </w:tabs>
        <w:ind w:left="1068" w:hanging="360"/>
      </w:pPr>
      <w:rPr>
        <w:rFonts w:cs="Times New Roman" w:hint="default"/>
        <w:b w:val="0"/>
        <w:bCs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83"/>
    <w:rsid w:val="0000356F"/>
    <w:rsid w:val="00026EAC"/>
    <w:rsid w:val="00030CE3"/>
    <w:rsid w:val="00037926"/>
    <w:rsid w:val="00046099"/>
    <w:rsid w:val="00053E53"/>
    <w:rsid w:val="00063CE2"/>
    <w:rsid w:val="00070A7E"/>
    <w:rsid w:val="0007533F"/>
    <w:rsid w:val="0008409A"/>
    <w:rsid w:val="000A50F0"/>
    <w:rsid w:val="000B1DF1"/>
    <w:rsid w:val="000B1F21"/>
    <w:rsid w:val="000B4B70"/>
    <w:rsid w:val="000C442B"/>
    <w:rsid w:val="000D7BF2"/>
    <w:rsid w:val="000E0815"/>
    <w:rsid w:val="000E2635"/>
    <w:rsid w:val="000E550E"/>
    <w:rsid w:val="001019D0"/>
    <w:rsid w:val="00106EB9"/>
    <w:rsid w:val="00115D22"/>
    <w:rsid w:val="0012749E"/>
    <w:rsid w:val="00140311"/>
    <w:rsid w:val="00151200"/>
    <w:rsid w:val="0015311B"/>
    <w:rsid w:val="001642C9"/>
    <w:rsid w:val="00175F55"/>
    <w:rsid w:val="00176380"/>
    <w:rsid w:val="00186238"/>
    <w:rsid w:val="00190509"/>
    <w:rsid w:val="00192A7A"/>
    <w:rsid w:val="001A0895"/>
    <w:rsid w:val="001A5307"/>
    <w:rsid w:val="001B37DC"/>
    <w:rsid w:val="001B381C"/>
    <w:rsid w:val="001D1BE3"/>
    <w:rsid w:val="001D3388"/>
    <w:rsid w:val="001E619F"/>
    <w:rsid w:val="001E6B11"/>
    <w:rsid w:val="001F3DA3"/>
    <w:rsid w:val="00203379"/>
    <w:rsid w:val="00213A1C"/>
    <w:rsid w:val="002173F0"/>
    <w:rsid w:val="00233C1E"/>
    <w:rsid w:val="00234ED3"/>
    <w:rsid w:val="0024408D"/>
    <w:rsid w:val="002444AC"/>
    <w:rsid w:val="00261988"/>
    <w:rsid w:val="002773D3"/>
    <w:rsid w:val="00281856"/>
    <w:rsid w:val="00292D34"/>
    <w:rsid w:val="00294408"/>
    <w:rsid w:val="002974A8"/>
    <w:rsid w:val="002A0925"/>
    <w:rsid w:val="002A09CC"/>
    <w:rsid w:val="002A1812"/>
    <w:rsid w:val="002A66FA"/>
    <w:rsid w:val="002B10E9"/>
    <w:rsid w:val="002B72BE"/>
    <w:rsid w:val="002D4538"/>
    <w:rsid w:val="002E749F"/>
    <w:rsid w:val="002F34F4"/>
    <w:rsid w:val="003015C2"/>
    <w:rsid w:val="00310F4B"/>
    <w:rsid w:val="0031676A"/>
    <w:rsid w:val="003207B5"/>
    <w:rsid w:val="00323CB4"/>
    <w:rsid w:val="00327D1F"/>
    <w:rsid w:val="003319C3"/>
    <w:rsid w:val="00332DBC"/>
    <w:rsid w:val="003470A6"/>
    <w:rsid w:val="0039058A"/>
    <w:rsid w:val="00391F49"/>
    <w:rsid w:val="00392FC8"/>
    <w:rsid w:val="003A149A"/>
    <w:rsid w:val="003B7F7D"/>
    <w:rsid w:val="003C3402"/>
    <w:rsid w:val="003D13AC"/>
    <w:rsid w:val="003E1BEE"/>
    <w:rsid w:val="003E4129"/>
    <w:rsid w:val="003F3383"/>
    <w:rsid w:val="00414E2B"/>
    <w:rsid w:val="00416E71"/>
    <w:rsid w:val="0042371D"/>
    <w:rsid w:val="00427A70"/>
    <w:rsid w:val="00446317"/>
    <w:rsid w:val="00450831"/>
    <w:rsid w:val="004625A6"/>
    <w:rsid w:val="0046313E"/>
    <w:rsid w:val="00464E2B"/>
    <w:rsid w:val="00473C23"/>
    <w:rsid w:val="0048505E"/>
    <w:rsid w:val="004B2CE4"/>
    <w:rsid w:val="004B429D"/>
    <w:rsid w:val="004D1427"/>
    <w:rsid w:val="004D7831"/>
    <w:rsid w:val="004E33EC"/>
    <w:rsid w:val="004F6B3A"/>
    <w:rsid w:val="004F7937"/>
    <w:rsid w:val="00515109"/>
    <w:rsid w:val="005200AD"/>
    <w:rsid w:val="00523EFF"/>
    <w:rsid w:val="00540A3E"/>
    <w:rsid w:val="005636D1"/>
    <w:rsid w:val="00565CC0"/>
    <w:rsid w:val="00583680"/>
    <w:rsid w:val="005A6C80"/>
    <w:rsid w:val="005C1AF1"/>
    <w:rsid w:val="005C3A8D"/>
    <w:rsid w:val="005D3492"/>
    <w:rsid w:val="005E6287"/>
    <w:rsid w:val="005F2607"/>
    <w:rsid w:val="005F3BC1"/>
    <w:rsid w:val="00604092"/>
    <w:rsid w:val="00604BD1"/>
    <w:rsid w:val="006052C8"/>
    <w:rsid w:val="00606088"/>
    <w:rsid w:val="006078CA"/>
    <w:rsid w:val="006331D6"/>
    <w:rsid w:val="00660988"/>
    <w:rsid w:val="006635EE"/>
    <w:rsid w:val="00667591"/>
    <w:rsid w:val="006776DC"/>
    <w:rsid w:val="0068403F"/>
    <w:rsid w:val="006A616B"/>
    <w:rsid w:val="006D2403"/>
    <w:rsid w:val="006D6117"/>
    <w:rsid w:val="006F391F"/>
    <w:rsid w:val="006F6681"/>
    <w:rsid w:val="00703625"/>
    <w:rsid w:val="00744C5A"/>
    <w:rsid w:val="00754906"/>
    <w:rsid w:val="00765981"/>
    <w:rsid w:val="007661A5"/>
    <w:rsid w:val="00781991"/>
    <w:rsid w:val="00791FDB"/>
    <w:rsid w:val="00794F22"/>
    <w:rsid w:val="007B46BB"/>
    <w:rsid w:val="007D3F59"/>
    <w:rsid w:val="007D67B3"/>
    <w:rsid w:val="007E010A"/>
    <w:rsid w:val="007E6CDD"/>
    <w:rsid w:val="00801E6B"/>
    <w:rsid w:val="00807785"/>
    <w:rsid w:val="00823AB1"/>
    <w:rsid w:val="008349E8"/>
    <w:rsid w:val="00852B37"/>
    <w:rsid w:val="008600F5"/>
    <w:rsid w:val="00863B90"/>
    <w:rsid w:val="00874703"/>
    <w:rsid w:val="00876A36"/>
    <w:rsid w:val="00881348"/>
    <w:rsid w:val="00884FE7"/>
    <w:rsid w:val="008971B7"/>
    <w:rsid w:val="00897A3D"/>
    <w:rsid w:val="008A33BB"/>
    <w:rsid w:val="008B7B47"/>
    <w:rsid w:val="008C2D4E"/>
    <w:rsid w:val="008D3BE8"/>
    <w:rsid w:val="008D4727"/>
    <w:rsid w:val="008D5FBC"/>
    <w:rsid w:val="008F5E0D"/>
    <w:rsid w:val="00923CC6"/>
    <w:rsid w:val="0092447C"/>
    <w:rsid w:val="0093084B"/>
    <w:rsid w:val="009625FB"/>
    <w:rsid w:val="00966A4F"/>
    <w:rsid w:val="0096748D"/>
    <w:rsid w:val="00976E01"/>
    <w:rsid w:val="009938BF"/>
    <w:rsid w:val="009A0CB8"/>
    <w:rsid w:val="009B4C08"/>
    <w:rsid w:val="009C3B03"/>
    <w:rsid w:val="009D27F6"/>
    <w:rsid w:val="009E0C87"/>
    <w:rsid w:val="009E32DD"/>
    <w:rsid w:val="009E4442"/>
    <w:rsid w:val="009E7DEB"/>
    <w:rsid w:val="00A01E81"/>
    <w:rsid w:val="00A05571"/>
    <w:rsid w:val="00A150B9"/>
    <w:rsid w:val="00A31B9A"/>
    <w:rsid w:val="00A35F28"/>
    <w:rsid w:val="00A43228"/>
    <w:rsid w:val="00A442D5"/>
    <w:rsid w:val="00A47530"/>
    <w:rsid w:val="00A57E9D"/>
    <w:rsid w:val="00A65CE5"/>
    <w:rsid w:val="00A71D4B"/>
    <w:rsid w:val="00A71F7D"/>
    <w:rsid w:val="00A904A8"/>
    <w:rsid w:val="00A95E04"/>
    <w:rsid w:val="00AB670C"/>
    <w:rsid w:val="00AC4316"/>
    <w:rsid w:val="00AD4E5E"/>
    <w:rsid w:val="00AF6D73"/>
    <w:rsid w:val="00B00CEB"/>
    <w:rsid w:val="00B02632"/>
    <w:rsid w:val="00B04C8B"/>
    <w:rsid w:val="00B04D59"/>
    <w:rsid w:val="00B07821"/>
    <w:rsid w:val="00B3062F"/>
    <w:rsid w:val="00B34A8D"/>
    <w:rsid w:val="00B40B64"/>
    <w:rsid w:val="00B55464"/>
    <w:rsid w:val="00B62CC6"/>
    <w:rsid w:val="00BA559A"/>
    <w:rsid w:val="00BB6C9F"/>
    <w:rsid w:val="00BD6438"/>
    <w:rsid w:val="00BE4C13"/>
    <w:rsid w:val="00C04BEF"/>
    <w:rsid w:val="00C1068B"/>
    <w:rsid w:val="00C232DE"/>
    <w:rsid w:val="00C25AED"/>
    <w:rsid w:val="00C372BB"/>
    <w:rsid w:val="00C479E3"/>
    <w:rsid w:val="00C62270"/>
    <w:rsid w:val="00C678AB"/>
    <w:rsid w:val="00C83337"/>
    <w:rsid w:val="00C92884"/>
    <w:rsid w:val="00CA1898"/>
    <w:rsid w:val="00CB3049"/>
    <w:rsid w:val="00CD1917"/>
    <w:rsid w:val="00CD3C8C"/>
    <w:rsid w:val="00CD742A"/>
    <w:rsid w:val="00CD7CD5"/>
    <w:rsid w:val="00CE0345"/>
    <w:rsid w:val="00CE0DE4"/>
    <w:rsid w:val="00CE2582"/>
    <w:rsid w:val="00CE58A7"/>
    <w:rsid w:val="00D04337"/>
    <w:rsid w:val="00D16490"/>
    <w:rsid w:val="00D242F6"/>
    <w:rsid w:val="00D263B0"/>
    <w:rsid w:val="00D43F35"/>
    <w:rsid w:val="00D641A4"/>
    <w:rsid w:val="00D73CC9"/>
    <w:rsid w:val="00D918A9"/>
    <w:rsid w:val="00D96EE5"/>
    <w:rsid w:val="00D970A6"/>
    <w:rsid w:val="00DA0A4A"/>
    <w:rsid w:val="00DC065E"/>
    <w:rsid w:val="00DC2842"/>
    <w:rsid w:val="00DC6A87"/>
    <w:rsid w:val="00DE24FD"/>
    <w:rsid w:val="00DF7E7B"/>
    <w:rsid w:val="00E0656C"/>
    <w:rsid w:val="00E22523"/>
    <w:rsid w:val="00E24A72"/>
    <w:rsid w:val="00E262E3"/>
    <w:rsid w:val="00E620A4"/>
    <w:rsid w:val="00E74F22"/>
    <w:rsid w:val="00E91401"/>
    <w:rsid w:val="00EA2342"/>
    <w:rsid w:val="00EB515E"/>
    <w:rsid w:val="00EB6610"/>
    <w:rsid w:val="00ED3684"/>
    <w:rsid w:val="00F13D5A"/>
    <w:rsid w:val="00F1523D"/>
    <w:rsid w:val="00F165AA"/>
    <w:rsid w:val="00F2598D"/>
    <w:rsid w:val="00F91810"/>
    <w:rsid w:val="00FA0454"/>
    <w:rsid w:val="00FB521E"/>
    <w:rsid w:val="00FE266B"/>
    <w:rsid w:val="00FE6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next w:val="a"/>
    <w:link w:val="40"/>
    <w:qFormat/>
    <w:rsid w:val="008D4727"/>
    <w:pPr>
      <w:keepNext/>
      <w:spacing w:after="0" w:line="240" w:lineRule="auto"/>
      <w:ind w:left="5760" w:firstLine="720"/>
      <w:outlineLvl w:val="3"/>
    </w:pPr>
    <w:rPr>
      <w:rFonts w:ascii="Times New Roman" w:eastAsia="Times New Roman" w:hAnsi="Times New Roman" w:cs="Narkisim"/>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8D4727"/>
    <w:rPr>
      <w:rFonts w:ascii="Times New Roman" w:eastAsia="Times New Roman" w:hAnsi="Times New Roman" w:cs="Narkisim"/>
      <w:b/>
      <w:bCs/>
      <w:noProof/>
      <w:sz w:val="24"/>
      <w:szCs w:val="24"/>
    </w:rPr>
  </w:style>
  <w:style w:type="numbering" w:customStyle="1" w:styleId="1">
    <w:name w:val="ללא רשימה1"/>
    <w:next w:val="a2"/>
    <w:semiHidden/>
    <w:unhideWhenUsed/>
    <w:rsid w:val="008D4727"/>
  </w:style>
  <w:style w:type="paragraph" w:styleId="a3">
    <w:name w:val="header"/>
    <w:basedOn w:val="a"/>
    <w:link w:val="a4"/>
    <w:rsid w:val="008D4727"/>
    <w:pPr>
      <w:tabs>
        <w:tab w:val="center" w:pos="4153"/>
        <w:tab w:val="right" w:pos="8306"/>
      </w:tabs>
      <w:spacing w:after="0" w:line="240" w:lineRule="auto"/>
    </w:pPr>
    <w:rPr>
      <w:rFonts w:ascii="Times New Roman" w:eastAsia="Times New Roman" w:hAnsi="Times New Roman" w:cs="David"/>
      <w:noProof/>
      <w:sz w:val="24"/>
      <w:szCs w:val="24"/>
    </w:rPr>
  </w:style>
  <w:style w:type="character" w:customStyle="1" w:styleId="a4">
    <w:name w:val="כותרת עליונה תו"/>
    <w:basedOn w:val="a0"/>
    <w:link w:val="a3"/>
    <w:rsid w:val="008D4727"/>
    <w:rPr>
      <w:rFonts w:ascii="Times New Roman" w:eastAsia="Times New Roman" w:hAnsi="Times New Roman" w:cs="David"/>
      <w:noProof/>
      <w:sz w:val="24"/>
      <w:szCs w:val="24"/>
    </w:rPr>
  </w:style>
  <w:style w:type="paragraph" w:styleId="a5">
    <w:name w:val="footer"/>
    <w:basedOn w:val="a"/>
    <w:link w:val="a6"/>
    <w:rsid w:val="008D4727"/>
    <w:pPr>
      <w:tabs>
        <w:tab w:val="center" w:pos="4153"/>
        <w:tab w:val="right" w:pos="8306"/>
      </w:tabs>
      <w:spacing w:after="0" w:line="240" w:lineRule="auto"/>
    </w:pPr>
    <w:rPr>
      <w:rFonts w:ascii="Times New Roman" w:eastAsia="Times New Roman" w:hAnsi="Times New Roman" w:cs="David"/>
      <w:noProof/>
      <w:sz w:val="24"/>
      <w:szCs w:val="24"/>
    </w:rPr>
  </w:style>
  <w:style w:type="character" w:customStyle="1" w:styleId="a6">
    <w:name w:val="כותרת תחתונה תו"/>
    <w:basedOn w:val="a0"/>
    <w:link w:val="a5"/>
    <w:rsid w:val="008D4727"/>
    <w:rPr>
      <w:rFonts w:ascii="Times New Roman" w:eastAsia="Times New Roman" w:hAnsi="Times New Roman" w:cs="David"/>
      <w:noProof/>
      <w:sz w:val="24"/>
      <w:szCs w:val="24"/>
    </w:rPr>
  </w:style>
  <w:style w:type="paragraph" w:customStyle="1" w:styleId="a7">
    <w:name w:val="סעיפים"/>
    <w:basedOn w:val="a"/>
    <w:rsid w:val="008D4727"/>
    <w:pPr>
      <w:tabs>
        <w:tab w:val="left" w:pos="567"/>
        <w:tab w:val="left" w:pos="1134"/>
        <w:tab w:val="left" w:pos="1701"/>
        <w:tab w:val="left" w:pos="2268"/>
        <w:tab w:val="left" w:pos="2835"/>
        <w:tab w:val="left" w:pos="3402"/>
        <w:tab w:val="left" w:pos="3969"/>
      </w:tabs>
      <w:spacing w:after="0" w:line="360" w:lineRule="auto"/>
      <w:jc w:val="both"/>
    </w:pPr>
    <w:rPr>
      <w:rFonts w:ascii="Times New Roman" w:eastAsia="Times New Roman" w:hAnsi="Times New Roman" w:cs="David"/>
      <w:sz w:val="24"/>
      <w:szCs w:val="24"/>
    </w:rPr>
  </w:style>
  <w:style w:type="paragraph" w:styleId="a8">
    <w:name w:val="annotation text"/>
    <w:basedOn w:val="a"/>
    <w:link w:val="a9"/>
    <w:rsid w:val="008D4727"/>
    <w:pPr>
      <w:spacing w:after="0" w:line="240" w:lineRule="auto"/>
    </w:pPr>
    <w:rPr>
      <w:rFonts w:ascii="Times New Roman" w:eastAsia="Times New Roman" w:hAnsi="Times New Roman" w:cs="Times New Roman"/>
      <w:sz w:val="24"/>
      <w:szCs w:val="24"/>
    </w:rPr>
  </w:style>
  <w:style w:type="character" w:customStyle="1" w:styleId="a9">
    <w:name w:val="טקסט הערה תו"/>
    <w:basedOn w:val="a0"/>
    <w:link w:val="a8"/>
    <w:rsid w:val="008D4727"/>
    <w:rPr>
      <w:rFonts w:ascii="Times New Roman" w:eastAsia="Times New Roman" w:hAnsi="Times New Roman" w:cs="Times New Roman"/>
      <w:sz w:val="24"/>
      <w:szCs w:val="24"/>
    </w:rPr>
  </w:style>
  <w:style w:type="character" w:styleId="aa">
    <w:name w:val="annotation reference"/>
    <w:basedOn w:val="a0"/>
    <w:rsid w:val="008D4727"/>
    <w:rPr>
      <w:sz w:val="16"/>
      <w:szCs w:val="16"/>
    </w:rPr>
  </w:style>
  <w:style w:type="paragraph" w:styleId="ab">
    <w:name w:val="Balloon Text"/>
    <w:basedOn w:val="a"/>
    <w:link w:val="ac"/>
    <w:rsid w:val="008D4727"/>
    <w:pPr>
      <w:spacing w:after="0" w:line="240" w:lineRule="auto"/>
    </w:pPr>
    <w:rPr>
      <w:rFonts w:ascii="Tahoma" w:eastAsia="Times New Roman" w:hAnsi="Tahoma" w:cs="Tahoma"/>
      <w:noProof/>
      <w:sz w:val="16"/>
      <w:szCs w:val="16"/>
    </w:rPr>
  </w:style>
  <w:style w:type="character" w:customStyle="1" w:styleId="ac">
    <w:name w:val="טקסט בלונים תו"/>
    <w:basedOn w:val="a0"/>
    <w:link w:val="ab"/>
    <w:rsid w:val="008D4727"/>
    <w:rPr>
      <w:rFonts w:ascii="Tahoma" w:eastAsia="Times New Roman" w:hAnsi="Tahoma" w:cs="Tahoma"/>
      <w:noProof/>
      <w:sz w:val="16"/>
      <w:szCs w:val="16"/>
    </w:rPr>
  </w:style>
  <w:style w:type="table" w:styleId="ad">
    <w:name w:val="Table Grid"/>
    <w:basedOn w:val="a1"/>
    <w:rsid w:val="008D47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8D4727"/>
  </w:style>
  <w:style w:type="character" w:styleId="af">
    <w:name w:val="page number"/>
    <w:basedOn w:val="a0"/>
    <w:rsid w:val="008D4727"/>
  </w:style>
  <w:style w:type="table" w:customStyle="1" w:styleId="10">
    <w:name w:val="טבלת רשת1"/>
    <w:basedOn w:val="a1"/>
    <w:next w:val="ad"/>
    <w:rsid w:val="008D472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טקסט מציין מיקום1"/>
    <w:basedOn w:val="a0"/>
    <w:rsid w:val="008D4727"/>
    <w:rPr>
      <w:color w:val="808080"/>
    </w:rPr>
  </w:style>
  <w:style w:type="character" w:customStyle="1" w:styleId="default">
    <w:name w:val="default"/>
    <w:rsid w:val="008D4727"/>
    <w:rPr>
      <w:rFonts w:ascii="Times New Roman" w:hAnsi="Times New Roman"/>
      <w:sz w:val="26"/>
    </w:rPr>
  </w:style>
  <w:style w:type="paragraph" w:customStyle="1" w:styleId="P00">
    <w:name w:val="P00"/>
    <w:rsid w:val="008D472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8D4727"/>
    <w:rPr>
      <w:rFonts w:ascii="Times New Roman" w:hAnsi="Times New Roman"/>
      <w:sz w:val="32"/>
    </w:rPr>
  </w:style>
  <w:style w:type="paragraph" w:customStyle="1" w:styleId="P22">
    <w:name w:val="P22"/>
    <w:basedOn w:val="P00"/>
    <w:rsid w:val="008D4727"/>
    <w:pPr>
      <w:tabs>
        <w:tab w:val="clear" w:pos="624"/>
        <w:tab w:val="clear" w:pos="1021"/>
      </w:tabs>
      <w:ind w:right="1021"/>
    </w:pPr>
  </w:style>
  <w:style w:type="paragraph" w:customStyle="1" w:styleId="12">
    <w:name w:val="פיסקת רשימה1"/>
    <w:basedOn w:val="a"/>
    <w:rsid w:val="008D4727"/>
    <w:pPr>
      <w:spacing w:after="0" w:line="240" w:lineRule="auto"/>
      <w:ind w:left="720"/>
      <w:contextualSpacing/>
    </w:pPr>
    <w:rPr>
      <w:rFonts w:ascii="Times New Roman" w:eastAsia="Times New Roman" w:hAnsi="Times New Roman" w:cs="David"/>
      <w:noProof/>
      <w:sz w:val="24"/>
      <w:szCs w:val="24"/>
    </w:rPr>
  </w:style>
  <w:style w:type="character" w:styleId="Hyperlink">
    <w:name w:val="Hyperlink"/>
    <w:basedOn w:val="a0"/>
    <w:rsid w:val="008D47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next w:val="a"/>
    <w:link w:val="40"/>
    <w:qFormat/>
    <w:rsid w:val="008D4727"/>
    <w:pPr>
      <w:keepNext/>
      <w:spacing w:after="0" w:line="240" w:lineRule="auto"/>
      <w:ind w:left="5760" w:firstLine="720"/>
      <w:outlineLvl w:val="3"/>
    </w:pPr>
    <w:rPr>
      <w:rFonts w:ascii="Times New Roman" w:eastAsia="Times New Roman" w:hAnsi="Times New Roman" w:cs="Narkisim"/>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8D4727"/>
    <w:rPr>
      <w:rFonts w:ascii="Times New Roman" w:eastAsia="Times New Roman" w:hAnsi="Times New Roman" w:cs="Narkisim"/>
      <w:b/>
      <w:bCs/>
      <w:noProof/>
      <w:sz w:val="24"/>
      <w:szCs w:val="24"/>
    </w:rPr>
  </w:style>
  <w:style w:type="numbering" w:customStyle="1" w:styleId="1">
    <w:name w:val="ללא רשימה1"/>
    <w:next w:val="a2"/>
    <w:semiHidden/>
    <w:unhideWhenUsed/>
    <w:rsid w:val="008D4727"/>
  </w:style>
  <w:style w:type="paragraph" w:styleId="a3">
    <w:name w:val="header"/>
    <w:basedOn w:val="a"/>
    <w:link w:val="a4"/>
    <w:rsid w:val="008D4727"/>
    <w:pPr>
      <w:tabs>
        <w:tab w:val="center" w:pos="4153"/>
        <w:tab w:val="right" w:pos="8306"/>
      </w:tabs>
      <w:spacing w:after="0" w:line="240" w:lineRule="auto"/>
    </w:pPr>
    <w:rPr>
      <w:rFonts w:ascii="Times New Roman" w:eastAsia="Times New Roman" w:hAnsi="Times New Roman" w:cs="David"/>
      <w:noProof/>
      <w:sz w:val="24"/>
      <w:szCs w:val="24"/>
    </w:rPr>
  </w:style>
  <w:style w:type="character" w:customStyle="1" w:styleId="a4">
    <w:name w:val="כותרת עליונה תו"/>
    <w:basedOn w:val="a0"/>
    <w:link w:val="a3"/>
    <w:rsid w:val="008D4727"/>
    <w:rPr>
      <w:rFonts w:ascii="Times New Roman" w:eastAsia="Times New Roman" w:hAnsi="Times New Roman" w:cs="David"/>
      <w:noProof/>
      <w:sz w:val="24"/>
      <w:szCs w:val="24"/>
    </w:rPr>
  </w:style>
  <w:style w:type="paragraph" w:styleId="a5">
    <w:name w:val="footer"/>
    <w:basedOn w:val="a"/>
    <w:link w:val="a6"/>
    <w:rsid w:val="008D4727"/>
    <w:pPr>
      <w:tabs>
        <w:tab w:val="center" w:pos="4153"/>
        <w:tab w:val="right" w:pos="8306"/>
      </w:tabs>
      <w:spacing w:after="0" w:line="240" w:lineRule="auto"/>
    </w:pPr>
    <w:rPr>
      <w:rFonts w:ascii="Times New Roman" w:eastAsia="Times New Roman" w:hAnsi="Times New Roman" w:cs="David"/>
      <w:noProof/>
      <w:sz w:val="24"/>
      <w:szCs w:val="24"/>
    </w:rPr>
  </w:style>
  <w:style w:type="character" w:customStyle="1" w:styleId="a6">
    <w:name w:val="כותרת תחתונה תו"/>
    <w:basedOn w:val="a0"/>
    <w:link w:val="a5"/>
    <w:rsid w:val="008D4727"/>
    <w:rPr>
      <w:rFonts w:ascii="Times New Roman" w:eastAsia="Times New Roman" w:hAnsi="Times New Roman" w:cs="David"/>
      <w:noProof/>
      <w:sz w:val="24"/>
      <w:szCs w:val="24"/>
    </w:rPr>
  </w:style>
  <w:style w:type="paragraph" w:customStyle="1" w:styleId="a7">
    <w:name w:val="סעיפים"/>
    <w:basedOn w:val="a"/>
    <w:rsid w:val="008D4727"/>
    <w:pPr>
      <w:tabs>
        <w:tab w:val="left" w:pos="567"/>
        <w:tab w:val="left" w:pos="1134"/>
        <w:tab w:val="left" w:pos="1701"/>
        <w:tab w:val="left" w:pos="2268"/>
        <w:tab w:val="left" w:pos="2835"/>
        <w:tab w:val="left" w:pos="3402"/>
        <w:tab w:val="left" w:pos="3969"/>
      </w:tabs>
      <w:spacing w:after="0" w:line="360" w:lineRule="auto"/>
      <w:jc w:val="both"/>
    </w:pPr>
    <w:rPr>
      <w:rFonts w:ascii="Times New Roman" w:eastAsia="Times New Roman" w:hAnsi="Times New Roman" w:cs="David"/>
      <w:sz w:val="24"/>
      <w:szCs w:val="24"/>
    </w:rPr>
  </w:style>
  <w:style w:type="paragraph" w:styleId="a8">
    <w:name w:val="annotation text"/>
    <w:basedOn w:val="a"/>
    <w:link w:val="a9"/>
    <w:rsid w:val="008D4727"/>
    <w:pPr>
      <w:spacing w:after="0" w:line="240" w:lineRule="auto"/>
    </w:pPr>
    <w:rPr>
      <w:rFonts w:ascii="Times New Roman" w:eastAsia="Times New Roman" w:hAnsi="Times New Roman" w:cs="Times New Roman"/>
      <w:sz w:val="24"/>
      <w:szCs w:val="24"/>
    </w:rPr>
  </w:style>
  <w:style w:type="character" w:customStyle="1" w:styleId="a9">
    <w:name w:val="טקסט הערה תו"/>
    <w:basedOn w:val="a0"/>
    <w:link w:val="a8"/>
    <w:rsid w:val="008D4727"/>
    <w:rPr>
      <w:rFonts w:ascii="Times New Roman" w:eastAsia="Times New Roman" w:hAnsi="Times New Roman" w:cs="Times New Roman"/>
      <w:sz w:val="24"/>
      <w:szCs w:val="24"/>
    </w:rPr>
  </w:style>
  <w:style w:type="character" w:styleId="aa">
    <w:name w:val="annotation reference"/>
    <w:basedOn w:val="a0"/>
    <w:rsid w:val="008D4727"/>
    <w:rPr>
      <w:sz w:val="16"/>
      <w:szCs w:val="16"/>
    </w:rPr>
  </w:style>
  <w:style w:type="paragraph" w:styleId="ab">
    <w:name w:val="Balloon Text"/>
    <w:basedOn w:val="a"/>
    <w:link w:val="ac"/>
    <w:rsid w:val="008D4727"/>
    <w:pPr>
      <w:spacing w:after="0" w:line="240" w:lineRule="auto"/>
    </w:pPr>
    <w:rPr>
      <w:rFonts w:ascii="Tahoma" w:eastAsia="Times New Roman" w:hAnsi="Tahoma" w:cs="Tahoma"/>
      <w:noProof/>
      <w:sz w:val="16"/>
      <w:szCs w:val="16"/>
    </w:rPr>
  </w:style>
  <w:style w:type="character" w:customStyle="1" w:styleId="ac">
    <w:name w:val="טקסט בלונים תו"/>
    <w:basedOn w:val="a0"/>
    <w:link w:val="ab"/>
    <w:rsid w:val="008D4727"/>
    <w:rPr>
      <w:rFonts w:ascii="Tahoma" w:eastAsia="Times New Roman" w:hAnsi="Tahoma" w:cs="Tahoma"/>
      <w:noProof/>
      <w:sz w:val="16"/>
      <w:szCs w:val="16"/>
    </w:rPr>
  </w:style>
  <w:style w:type="table" w:styleId="ad">
    <w:name w:val="Table Grid"/>
    <w:basedOn w:val="a1"/>
    <w:rsid w:val="008D47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8D4727"/>
  </w:style>
  <w:style w:type="character" w:styleId="af">
    <w:name w:val="page number"/>
    <w:basedOn w:val="a0"/>
    <w:rsid w:val="008D4727"/>
  </w:style>
  <w:style w:type="table" w:customStyle="1" w:styleId="10">
    <w:name w:val="טבלת רשת1"/>
    <w:basedOn w:val="a1"/>
    <w:next w:val="ad"/>
    <w:rsid w:val="008D472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טקסט מציין מיקום1"/>
    <w:basedOn w:val="a0"/>
    <w:rsid w:val="008D4727"/>
    <w:rPr>
      <w:color w:val="808080"/>
    </w:rPr>
  </w:style>
  <w:style w:type="character" w:customStyle="1" w:styleId="default">
    <w:name w:val="default"/>
    <w:rsid w:val="008D4727"/>
    <w:rPr>
      <w:rFonts w:ascii="Times New Roman" w:hAnsi="Times New Roman"/>
      <w:sz w:val="26"/>
    </w:rPr>
  </w:style>
  <w:style w:type="paragraph" w:customStyle="1" w:styleId="P00">
    <w:name w:val="P00"/>
    <w:rsid w:val="008D472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8D4727"/>
    <w:rPr>
      <w:rFonts w:ascii="Times New Roman" w:hAnsi="Times New Roman"/>
      <w:sz w:val="32"/>
    </w:rPr>
  </w:style>
  <w:style w:type="paragraph" w:customStyle="1" w:styleId="P22">
    <w:name w:val="P22"/>
    <w:basedOn w:val="P00"/>
    <w:rsid w:val="008D4727"/>
    <w:pPr>
      <w:tabs>
        <w:tab w:val="clear" w:pos="624"/>
        <w:tab w:val="clear" w:pos="1021"/>
      </w:tabs>
      <w:ind w:right="1021"/>
    </w:pPr>
  </w:style>
  <w:style w:type="paragraph" w:customStyle="1" w:styleId="12">
    <w:name w:val="פיסקת רשימה1"/>
    <w:basedOn w:val="a"/>
    <w:rsid w:val="008D4727"/>
    <w:pPr>
      <w:spacing w:after="0" w:line="240" w:lineRule="auto"/>
      <w:ind w:left="720"/>
      <w:contextualSpacing/>
    </w:pPr>
    <w:rPr>
      <w:rFonts w:ascii="Times New Roman" w:eastAsia="Times New Roman" w:hAnsi="Times New Roman" w:cs="David"/>
      <w:noProof/>
      <w:sz w:val="24"/>
      <w:szCs w:val="24"/>
    </w:rPr>
  </w:style>
  <w:style w:type="character" w:styleId="Hyperlink">
    <w:name w:val="Hyperlink"/>
    <w:basedOn w:val="a0"/>
    <w:rsid w:val="008D4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71689/20.a.1" TargetMode="External"/><Relationship Id="rId18" Type="http://schemas.openxmlformats.org/officeDocument/2006/relationships/hyperlink" Target="http://www.nevo.co.il/law/5016/2" TargetMode="External"/><Relationship Id="rId26" Type="http://schemas.openxmlformats.org/officeDocument/2006/relationships/hyperlink" Target="http://www.nevo.co.il/law/5016/9" TargetMode="External"/><Relationship Id="rId39" Type="http://schemas.openxmlformats.org/officeDocument/2006/relationships/hyperlink" Target="http://www.nevo.co.il/case/3932696" TargetMode="External"/><Relationship Id="rId21" Type="http://schemas.openxmlformats.org/officeDocument/2006/relationships/hyperlink" Target="http://www.nevo.co.il/case/5789598" TargetMode="External"/><Relationship Id="rId34" Type="http://schemas.openxmlformats.org/officeDocument/2006/relationships/hyperlink" Target="http://www.nevo.co.il/law/5016/2" TargetMode="External"/><Relationship Id="rId42" Type="http://schemas.openxmlformats.org/officeDocument/2006/relationships/hyperlink" Target="http://www.nevo.co.il/case/4921512" TargetMode="External"/><Relationship Id="rId47" Type="http://schemas.openxmlformats.org/officeDocument/2006/relationships/hyperlink" Target="http://www.nevo.co.il/law/71689" TargetMode="External"/><Relationship Id="rId50" Type="http://schemas.openxmlformats.org/officeDocument/2006/relationships/hyperlink" Target="http://www.nevo.co.il/law/71689/20.e" TargetMode="External"/><Relationship Id="rId55" Type="http://schemas.openxmlformats.org/officeDocument/2006/relationships/fontTable" Target="fontTable.xml"/><Relationship Id="rId7" Type="http://schemas.openxmlformats.org/officeDocument/2006/relationships/hyperlink" Target="http://www.nevo.co.il/law/5016/2" TargetMode="External"/><Relationship Id="rId12" Type="http://schemas.openxmlformats.org/officeDocument/2006/relationships/hyperlink" Target="http://www.nevo.co.il/law/71689" TargetMode="External"/><Relationship Id="rId17" Type="http://schemas.openxmlformats.org/officeDocument/2006/relationships/hyperlink" Target="http://www.nevo.co.il/law/5016/9" TargetMode="External"/><Relationship Id="rId25" Type="http://schemas.openxmlformats.org/officeDocument/2006/relationships/hyperlink" Target="http://www.nevo.co.il/law/5016/9" TargetMode="External"/><Relationship Id="rId33" Type="http://schemas.openxmlformats.org/officeDocument/2006/relationships/hyperlink" Target="http://www.nevo.co.il/law/5016/2" TargetMode="External"/><Relationship Id="rId38" Type="http://schemas.openxmlformats.org/officeDocument/2006/relationships/hyperlink" Target="http://www.nevo.co.il/law/5016/2" TargetMode="External"/><Relationship Id="rId46" Type="http://schemas.openxmlformats.org/officeDocument/2006/relationships/hyperlink" Target="http://www.nevo.co.il/law/71689/20.e" TargetMode="External"/><Relationship Id="rId2" Type="http://schemas.openxmlformats.org/officeDocument/2006/relationships/styles" Target="styles.xml"/><Relationship Id="rId16" Type="http://schemas.openxmlformats.org/officeDocument/2006/relationships/hyperlink" Target="http://www.nevo.co.il/law/5016" TargetMode="External"/><Relationship Id="rId20" Type="http://schemas.openxmlformats.org/officeDocument/2006/relationships/hyperlink" Target="http://www.nevo.co.il/law/5016" TargetMode="External"/><Relationship Id="rId29" Type="http://schemas.openxmlformats.org/officeDocument/2006/relationships/hyperlink" Target="http://www.nevo.co.il/law/5016/2" TargetMode="External"/><Relationship Id="rId41" Type="http://schemas.openxmlformats.org/officeDocument/2006/relationships/hyperlink" Target="http://www.nevo.co.il/case/20212301" TargetMode="External"/><Relationship Id="rId54" Type="http://schemas.openxmlformats.org/officeDocument/2006/relationships/hyperlink" Target="http://www.nevo.co.il/advertisements/nevo-100.doc" TargetMode="External"/><Relationship Id="rId1" Type="http://schemas.openxmlformats.org/officeDocument/2006/relationships/numbering" Target="numbering.xml"/><Relationship Id="rId6" Type="http://schemas.openxmlformats.org/officeDocument/2006/relationships/hyperlink" Target="http://www.nevo.co.il/law/5016" TargetMode="External"/><Relationship Id="rId11" Type="http://schemas.openxmlformats.org/officeDocument/2006/relationships/hyperlink" Target="http://www.nevo.co.il/law/71704" TargetMode="External"/><Relationship Id="rId24" Type="http://schemas.openxmlformats.org/officeDocument/2006/relationships/hyperlink" Target="http://www.nevo.co.il/case/2392324" TargetMode="External"/><Relationship Id="rId32" Type="http://schemas.openxmlformats.org/officeDocument/2006/relationships/hyperlink" Target="http://www.nevo.co.il/law/5016/9" TargetMode="External"/><Relationship Id="rId37" Type="http://schemas.openxmlformats.org/officeDocument/2006/relationships/hyperlink" Target="http://www.nevo.co.il/law/5016/2" TargetMode="External"/><Relationship Id="rId40" Type="http://schemas.openxmlformats.org/officeDocument/2006/relationships/hyperlink" Target="http://www.nevo.co.il/case/2229550" TargetMode="External"/><Relationship Id="rId45" Type="http://schemas.openxmlformats.org/officeDocument/2006/relationships/hyperlink" Target="http://www.nevo.co.il/case/2136409" TargetMode="External"/><Relationship Id="rId53" Type="http://schemas.openxmlformats.org/officeDocument/2006/relationships/hyperlink" Target="http://www.nevo.co.il/case/17939902" TargetMode="External"/><Relationship Id="rId5" Type="http://schemas.openxmlformats.org/officeDocument/2006/relationships/webSettings" Target="webSettings.xml"/><Relationship Id="rId15" Type="http://schemas.openxmlformats.org/officeDocument/2006/relationships/hyperlink" Target="http://www.nevo.co.il/law/5016/2.a" TargetMode="External"/><Relationship Id="rId23" Type="http://schemas.openxmlformats.org/officeDocument/2006/relationships/hyperlink" Target="http://www.nevo.co.il/law/4681" TargetMode="External"/><Relationship Id="rId28" Type="http://schemas.openxmlformats.org/officeDocument/2006/relationships/hyperlink" Target="http://www.nevo.co.il/law/5016/2" TargetMode="External"/><Relationship Id="rId36" Type="http://schemas.openxmlformats.org/officeDocument/2006/relationships/hyperlink" Target="http://www.nevo.co.il/case/18094355" TargetMode="External"/><Relationship Id="rId49" Type="http://schemas.openxmlformats.org/officeDocument/2006/relationships/hyperlink" Target="http://www.nevo.co.il/law/71689/20.e" TargetMode="External"/><Relationship Id="rId10" Type="http://schemas.openxmlformats.org/officeDocument/2006/relationships/hyperlink" Target="http://www.nevo.co.il/law/4681" TargetMode="External"/><Relationship Id="rId19" Type="http://schemas.openxmlformats.org/officeDocument/2006/relationships/hyperlink" Target="http://www.nevo.co.il/case/17932902" TargetMode="External"/><Relationship Id="rId31" Type="http://schemas.openxmlformats.org/officeDocument/2006/relationships/hyperlink" Target="http://www.nevo.co.il/law/5016/9" TargetMode="External"/><Relationship Id="rId44" Type="http://schemas.openxmlformats.org/officeDocument/2006/relationships/hyperlink" Target="http://www.nevo.co.il/law/71704" TargetMode="External"/><Relationship Id="rId52" Type="http://schemas.openxmlformats.org/officeDocument/2006/relationships/hyperlink" Target="http://www.nevo.co.il/law/71689" TargetMode="External"/><Relationship Id="rId4" Type="http://schemas.openxmlformats.org/officeDocument/2006/relationships/settings" Target="settings.xml"/><Relationship Id="rId9" Type="http://schemas.openxmlformats.org/officeDocument/2006/relationships/hyperlink" Target="http://www.nevo.co.il/law/5016/9" TargetMode="External"/><Relationship Id="rId14" Type="http://schemas.openxmlformats.org/officeDocument/2006/relationships/hyperlink" Target="http://www.nevo.co.il/law/71689/20.e" TargetMode="External"/><Relationship Id="rId22" Type="http://schemas.openxmlformats.org/officeDocument/2006/relationships/hyperlink" Target="http://www.nevo.co.il/law/5016/2" TargetMode="External"/><Relationship Id="rId27" Type="http://schemas.openxmlformats.org/officeDocument/2006/relationships/hyperlink" Target="http://www.nevo.co.il/case/5789598" TargetMode="External"/><Relationship Id="rId30" Type="http://schemas.openxmlformats.org/officeDocument/2006/relationships/hyperlink" Target="http://www.nevo.co.il/case/5715972" TargetMode="External"/><Relationship Id="rId35" Type="http://schemas.openxmlformats.org/officeDocument/2006/relationships/hyperlink" Target="http://www.nevo.co.il/case/26337" TargetMode="External"/><Relationship Id="rId43" Type="http://schemas.openxmlformats.org/officeDocument/2006/relationships/hyperlink" Target="http://www.nevo.co.il/law/5016" TargetMode="External"/><Relationship Id="rId48" Type="http://schemas.openxmlformats.org/officeDocument/2006/relationships/hyperlink" Target="http://www.nevo.co.il/case/20138932" TargetMode="External"/><Relationship Id="rId56" Type="http://schemas.openxmlformats.org/officeDocument/2006/relationships/theme" Target="theme/theme1.xml"/><Relationship Id="rId8" Type="http://schemas.openxmlformats.org/officeDocument/2006/relationships/hyperlink" Target="http://www.nevo.co.il/law/5016/2.a" TargetMode="External"/><Relationship Id="rId51" Type="http://schemas.openxmlformats.org/officeDocument/2006/relationships/hyperlink" Target="http://www.nevo.co.il/law/71689/20.a.1" TargetMode="External"/><Relationship Id="rId3"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10253</Words>
  <Characters>51270</Characters>
  <Application>Microsoft Office Word</Application>
  <DocSecurity>0</DocSecurity>
  <Lines>427</Lines>
  <Paragraphs>122</Paragraphs>
  <ScaleCrop>false</ScaleCrop>
  <HeadingPairs>
    <vt:vector size="2" baseType="variant">
      <vt:variant>
        <vt:lpstr>שם</vt:lpstr>
      </vt:variant>
      <vt:variant>
        <vt:i4>1</vt:i4>
      </vt:variant>
    </vt:vector>
  </HeadingPairs>
  <TitlesOfParts>
    <vt:vector size="1" baseType="lpstr">
      <vt:lpstr>פס"ד ציונה בוחבוט בוורד</vt:lpstr>
    </vt:vector>
  </TitlesOfParts>
  <Manager>ענת רוזנר, עו"ד </Manager>
  <Company>ציונה בוחבוט</Company>
  <LinksUpToDate>false</LinksUpToDate>
  <CharactersWithSpaces>61401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פס"ד ציונה בוחבוט בוורד</dc:title>
  <dc:subject>2037/1</dc:subject>
  <dc:creator>G64866-V1</dc:creator>
  <cp:keywords>R:\docs\2037\00001\G64866-V001.doc ציונה בוחבוט ציונה בוחבוט 2037/1 פס"ד ציונה בוחבוט בוורד 64866-V1 G64866-V1</cp:keywords>
  <dc:description>ענת_x000d_
ציונה בוחבוט_x000d_
פס"ד ציונה בוחבוט בוורד</dc:description>
  <cp:lastModifiedBy>Office</cp:lastModifiedBy>
  <cp:revision>2</cp:revision>
  <dcterms:created xsi:type="dcterms:W3CDTF">2015-05-28T10:13:00Z</dcterms:created>
  <dcterms:modified xsi:type="dcterms:W3CDTF">2015-05-28T10:13:00Z</dcterms:modified>
  <cp:category/>
</cp:coreProperties>
</file>