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000000" w:rsidRDefault="00992C2F">
      <w:pPr>
        <w:rPr>
          <w:rFonts w:eastAsia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w:control r:id="rId6" w:name="אובייקט 1" w:shapeid="_x0000_i1025"/>
        </w:object>
      </w:r>
    </w:p>
    <w:p w:rsidR="00000000" w:rsidRDefault="00992C2F">
      <w:pPr>
        <w:bidi/>
        <w:jc w:val="center"/>
        <w:divId w:val="761146851"/>
      </w:pPr>
      <w:r>
        <w:rPr>
          <w:rtl/>
        </w:rPr>
        <w:t> </w:t>
      </w:r>
    </w:p>
    <w:p w:rsidR="00000000" w:rsidRDefault="00992C2F">
      <w:pPr>
        <w:bidi/>
        <w:jc w:val="center"/>
        <w:divId w:val="761146851"/>
        <w:rPr>
          <w:rtl/>
        </w:rPr>
      </w:pPr>
      <w:r>
        <w:rPr>
          <w:rtl/>
        </w:rPr>
        <w:t> </w:t>
      </w:r>
    </w:p>
    <w:tbl>
      <w:tblPr>
        <w:bidiVisual/>
        <w:tblW w:w="6046" w:type="pct"/>
        <w:jc w:val="center"/>
        <w:tblInd w:w="-324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00000" w:rsidTr="00992C2F">
        <w:trPr>
          <w:divId w:val="761146851"/>
          <w:jc w:val="center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92C2F">
            <w:pPr>
              <w:bidi/>
            </w:pPr>
            <w:r>
              <w:t> </w:t>
            </w:r>
          </w:p>
          <w:tbl>
            <w:tblPr>
              <w:tblpPr w:leftFromText="180" w:rightFromText="180" w:vertAnchor="text"/>
              <w:bidiVisual/>
              <w:tblW w:w="331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</w:tblGrid>
            <w:tr w:rsidR="00000000">
              <w:trPr>
                <w:trHeight w:val="3900"/>
                <w:tblCellSpacing w:w="22" w:type="dxa"/>
              </w:trPr>
              <w:tc>
                <w:tcPr>
                  <w:tcW w:w="2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992C2F">
                  <w:pPr>
                    <w:bidi/>
                    <w:ind w:right="103"/>
                    <w:jc w:val="center"/>
                  </w:pPr>
                  <w:r>
                    <w:rPr>
                      <w:rFonts w:cs="Narkisim" w:hint="cs"/>
                      <w:sz w:val="27"/>
                      <w:szCs w:val="27"/>
                      <w:rtl/>
                    </w:rPr>
                    <w:t> </w:t>
                  </w:r>
                  <w:r>
                    <w:rPr>
                      <w:rFonts w:cs="Narkisim"/>
                      <w:noProof/>
                      <w:sz w:val="27"/>
                      <w:szCs w:val="27"/>
                    </w:rPr>
                    <w:drawing>
                      <wp:inline distT="0" distB="0" distL="0" distR="0" wp14:anchorId="32FB2E62" wp14:editId="692F3A7E">
                        <wp:extent cx="2190750" cy="3000375"/>
                        <wp:effectExtent l="0" t="0" r="0" b="9525"/>
                        <wp:docPr id="2" name="תמונה 2" descr="C:\D\אתרים\החברה היונגיאנית\netzer\hashalem\עטיפה קדמית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\אתרים\החברה היונגיאנית\netzer\hashalem\עטיפה קדמית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992C2F">
            <w:pPr>
              <w:bidi/>
              <w:spacing w:line="240" w:lineRule="atLeast"/>
              <w:ind w:left="28" w:right="103"/>
              <w:jc w:val="center"/>
              <w:rPr>
                <w:rtl/>
              </w:rPr>
            </w:pPr>
            <w:r>
              <w:t> </w:t>
            </w:r>
          </w:p>
          <w:p w:rsidR="00000000" w:rsidRDefault="00992C2F">
            <w:pPr>
              <w:bidi/>
              <w:spacing w:line="240" w:lineRule="atLeast"/>
              <w:ind w:left="28" w:right="103"/>
              <w:jc w:val="center"/>
              <w:rPr>
                <w:rtl/>
              </w:rPr>
            </w:pPr>
            <w:r>
              <w:t> </w:t>
            </w:r>
          </w:p>
          <w:p w:rsidR="00000000" w:rsidRDefault="00992C2F">
            <w:pPr>
              <w:shd w:val="clear" w:color="auto" w:fill="808000"/>
              <w:bidi/>
              <w:spacing w:line="300" w:lineRule="atLeast"/>
              <w:ind w:left="28" w:right="102"/>
              <w:jc w:val="center"/>
              <w:divId w:val="134638980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</w:rPr>
              <w:t>השלם ושברו</w:t>
            </w:r>
          </w:p>
          <w:p w:rsidR="00000000" w:rsidRDefault="00992C2F">
            <w:pPr>
              <w:shd w:val="clear" w:color="auto" w:fill="808000"/>
              <w:bidi/>
              <w:spacing w:line="300" w:lineRule="atLeast"/>
              <w:ind w:left="28" w:right="102"/>
              <w:jc w:val="center"/>
              <w:divId w:val="134638980"/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u w:val="single"/>
                <w:rtl/>
              </w:rPr>
              <w:t>מיתוס, ספרות, שירה</w:t>
            </w:r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 </w:t>
            </w:r>
            <w:hyperlink r:id="rId8" w:history="1">
              <w:r>
                <w:rPr>
                  <w:rStyle w:val="Hyperlink"/>
                  <w:rFonts w:hint="cs"/>
                  <w:b/>
                  <w:bCs/>
                  <w:sz w:val="32"/>
                  <w:szCs w:val="32"/>
                  <w:rtl/>
                </w:rPr>
                <w:t>(על הספר)</w:t>
              </w:r>
            </w:hyperlink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hyperlink r:id="rId9" w:history="1">
              <w:r>
                <w:rPr>
                  <w:rStyle w:val="Hyperlink"/>
                  <w:rFonts w:hint="cs"/>
                  <w:b/>
                  <w:bCs/>
                  <w:sz w:val="32"/>
                  <w:szCs w:val="32"/>
                  <w:rtl/>
                </w:rPr>
                <w:t>(התוכן)</w:t>
              </w:r>
            </w:hyperlink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hyperlink r:id="rId10" w:history="1">
              <w:r>
                <w:rPr>
                  <w:rStyle w:val="Hyperlink"/>
                  <w:b/>
                  <w:bCs/>
                  <w:sz w:val="32"/>
                  <w:szCs w:val="32"/>
                  <w:rtl/>
                </w:rPr>
                <w:t>מאמר ביקורת של רבקה שאול בן-צבי</w:t>
              </w:r>
            </w:hyperlink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hyperlink r:id="rId11" w:history="1">
              <w:r>
                <w:rPr>
                  <w:rStyle w:val="Hyperlink"/>
                  <w:b/>
                  <w:bCs/>
                  <w:sz w:val="28"/>
                  <w:szCs w:val="28"/>
                  <w:rtl/>
                </w:rPr>
                <w:t>השמירה על שיווי-המשקל</w:t>
              </w:r>
            </w:hyperlink>
            <w:r>
              <w:rPr>
                <w:b/>
                <w:bCs/>
                <w:sz w:val="28"/>
                <w:szCs w:val="28"/>
                <w:rtl/>
              </w:rPr>
              <w:t xml:space="preserve"> (מאמר ביקורת של נורית גוברין)</w:t>
            </w:r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jc w:val="center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/>
                <w:sz w:val="27"/>
                <w:szCs w:val="27"/>
                <w:rtl/>
              </w:rPr>
              <w:t>ה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 xml:space="preserve">פסיכולוגיה בת זמננו לומדת מהספרות על עמקי נפש האדם ושופכת על תהליכים אלה אור מחודש. 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המאמרים שכונסו בספר זה עוסקים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 xml:space="preserve"> בחקר יצירות מהספרות העברית והכללית, וכן מסות על הסמל, והדימוי, השירה והאמנות. בסיוע המבט של פסיכולוגית המעמקים של יונג. השלם ושברו הוא השלם המכיל את שבריו וגם השלם ופשרו.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"מר מאני מוריד את כל כובעיו בפני הפרשנות שלך... האופציה היונגיאנית היא פחות לוחצת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על הטקסט מזו הפרוידיאנית ודווקא מטפלת ברַכּוּת ובפתיחות בטקסט".     (</w:t>
            </w:r>
            <w:r>
              <w:rPr>
                <w:rFonts w:ascii="Arial" w:hAnsi="Arial" w:cs="Arial" w:hint="cs"/>
                <w:i/>
                <w:iCs/>
                <w:sz w:val="27"/>
                <w:szCs w:val="27"/>
                <w:rtl/>
              </w:rPr>
              <w:t>א.ב. יהושע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>)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"שמחתי לקבל את מאמריך המצוינים מאירי העיניים והמשמעותיים כל כך. מאמריך עמוקים ומקיפים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ועשירים – בבחינת עולם ומלואו. למדתי המון ממאמר אחד שלך יותר מאשר ממאמרים רבים אחרים: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יונג, קבלה, אלכימיה, מקומו של האיד, ספרות, נפש, אינסוף משמעויות. הספר בעל השם האוקסימורוני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'השלם ושברו' יהיה בטח יצירת מופת".    (</w:t>
            </w:r>
            <w:r>
              <w:rPr>
                <w:rFonts w:ascii="Arial" w:hAnsi="Arial" w:cs="Arial" w:hint="cs"/>
                <w:i/>
                <w:iCs/>
                <w:sz w:val="27"/>
                <w:szCs w:val="27"/>
                <w:rtl/>
              </w:rPr>
              <w:t>פרופ. ניצה בן דב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>)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"המאמר של רות נצר על 'שורשי אויר' הוא מהמיטב שנכתב על ספרי זה... אהבתי במיוחד את מאמריה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החשובים על ספריו של פטריק וויט".   (</w:t>
            </w:r>
            <w:r>
              <w:rPr>
                <w:rFonts w:ascii="Arial" w:hAnsi="Arial" w:cs="Arial" w:hint="cs"/>
                <w:i/>
                <w:iCs/>
                <w:sz w:val="27"/>
                <w:szCs w:val="27"/>
                <w:rtl/>
              </w:rPr>
              <w:t>רות אלמוג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>)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ascii="Arial" w:hAnsi="Arial" w:cs="Arial" w:hint="cs"/>
                <w:sz w:val="27"/>
                <w:szCs w:val="27"/>
                <w:rtl/>
              </w:rPr>
              <w:t>רות נצר היא פסיכולוגית קלינית-יונגיאנית בכירה, עוסקת בפסיכוטרפיה ומלמדת במכללת סמינר הקבוצים. כמו כן עוסקת  במחקר ובקורת ספרות, באמנות ושירה. ספריה הקודמים – שמונה ספרי שירה, עליהם זכתה בארבעה פרסים ספרותי</w:t>
            </w:r>
            <w:r>
              <w:rPr>
                <w:rFonts w:ascii="Arial" w:hAnsi="Arial" w:cs="Arial" w:hint="cs"/>
                <w:sz w:val="27"/>
                <w:szCs w:val="27"/>
                <w:rtl/>
              </w:rPr>
              <w:t>ים, ושני ספרי עיון –  'המסע אל העצמי' ו'קלפי הטארוט במעגל החיים ובתרפיה' (מודן).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 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lastRenderedPageBreak/>
              <w:t>צלום העטיפה: זכוכית שבורה. רות נצר</w:t>
            </w:r>
          </w:p>
          <w:p w:rsidR="00000000" w:rsidRDefault="00992C2F">
            <w:pPr>
              <w:bidi/>
              <w:ind w:left="330" w:right="225"/>
              <w:rPr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עצוב העטיפה: יעל בר-דיין</w:t>
            </w:r>
          </w:p>
          <w:p w:rsidR="00000000" w:rsidRDefault="00992C2F">
            <w:pPr>
              <w:pStyle w:val="NormalWeb"/>
              <w:bidi/>
              <w:spacing w:before="0" w:beforeAutospacing="0" w:after="0" w:afterAutospacing="0"/>
              <w:ind w:left="28" w:right="103"/>
            </w:pPr>
            <w:r>
              <w:rPr>
                <w:sz w:val="27"/>
                <w:szCs w:val="27"/>
              </w:rPr>
              <w:t> </w:t>
            </w:r>
          </w:p>
        </w:tc>
      </w:tr>
      <w:tr w:rsidR="00000000" w:rsidTr="00992C2F">
        <w:trPr>
          <w:divId w:val="761146851"/>
          <w:jc w:val="center"/>
        </w:trPr>
        <w:tc>
          <w:tcPr>
            <w:tcW w:w="5000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92C2F">
            <w:pPr>
              <w:bidi/>
            </w:pPr>
            <w:r>
              <w:lastRenderedPageBreak/>
              <w:t xml:space="preserve">Links </w:t>
            </w:r>
          </w:p>
        </w:tc>
      </w:tr>
    </w:tbl>
    <w:p w:rsidR="00000000" w:rsidRDefault="00992C2F" w:rsidP="00992C2F">
      <w:pPr>
        <w:pStyle w:val="NormalWeb"/>
        <w:bidi/>
        <w:spacing w:after="240" w:afterAutospacing="0"/>
        <w:divId w:val="761146851"/>
        <w:rPr>
          <w:rFonts w:hint="cs"/>
          <w:rtl/>
        </w:rPr>
      </w:pPr>
      <w:r>
        <w:rPr>
          <w:rtl/>
        </w:rPr>
        <w:t> </w:t>
      </w:r>
      <w:bookmarkStart w:id="0" w:name="_GoBack"/>
      <w:bookmarkEnd w:id="0"/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61FD"/>
    <w:rsid w:val="00992C2F"/>
    <w:rsid w:val="00D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761F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61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761F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61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\&#1488;&#1514;&#1512;&#1497;&#1501;\&#1492;&#1495;&#1489;&#1512;&#1492;%20&#1492;&#1497;&#1493;&#1504;&#1490;&#1497;&#1488;&#1504;&#1497;&#1514;\netzer\hashalem\the%20book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D\&#1488;&#1514;&#1512;&#1497;&#1501;\&#1492;&#1495;&#1489;&#1512;&#1492;%20&#1492;&#1497;&#1493;&#1504;&#1490;&#1497;&#1488;&#1504;&#1497;&#1514;\netzer\hashalem\&#1506;&#1496;&#1497;&#1508;&#1492;%20&#1511;&#1491;&#1502;&#1497;&#1514;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file:///C:\D\&#1488;&#1514;&#1512;&#1497;&#1501;\&#1492;&#1495;&#1489;&#1512;&#1492;%20&#1492;&#1497;&#1493;&#1504;&#1490;&#1497;&#1488;&#1504;&#1497;&#1514;\netzer\hashalem\guvrin.doc" TargetMode="External"/><Relationship Id="rId5" Type="http://schemas.openxmlformats.org/officeDocument/2006/relationships/image" Target="media/image1.wmf"/><Relationship Id="rId10" Type="http://schemas.openxmlformats.org/officeDocument/2006/relationships/hyperlink" Target="file:///C:\D\&#1488;&#1514;&#1512;&#1497;&#1501;\&#1492;&#1495;&#1489;&#1512;&#1492;%20&#1492;&#1497;&#1493;&#1504;&#1490;&#1497;&#1488;&#1504;&#1497;&#1514;\netzer\hashalem\riv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\&#1488;&#1514;&#1512;&#1497;&#1501;\&#1492;&#1495;&#1489;&#1512;&#1492;%20&#1492;&#1497;&#1493;&#1504;&#1490;&#1497;&#1488;&#1504;&#1497;&#1514;\netzer\hashalem\contents.do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422DAE3-9929-11CF-B8D3-004033373DA8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עדית אנקורי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עדית אנקורי</dc:title>
  <dc:creator>user</dc:creator>
  <cp:lastModifiedBy>user</cp:lastModifiedBy>
  <cp:revision>2</cp:revision>
  <dcterms:created xsi:type="dcterms:W3CDTF">2015-07-17T20:43:00Z</dcterms:created>
  <dcterms:modified xsi:type="dcterms:W3CDTF">2015-07-17T20:43:00Z</dcterms:modified>
</cp:coreProperties>
</file>