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000000" w:rsidRDefault="0049157D">
      <w:pPr>
        <w:jc w:val="center"/>
      </w:pPr>
    </w:p>
    <w:tbl>
      <w:tblPr>
        <w:tblW w:w="5412" w:type="pct"/>
        <w:jc w:val="center"/>
        <w:tblCellSpacing w:w="20" w:type="dxa"/>
        <w:tblInd w:w="-2069" w:type="dxa"/>
        <w:tblBorders>
          <w:top w:val="outset" w:sz="24" w:space="0" w:color="auto"/>
          <w:left w:val="outset" w:sz="24" w:space="0" w:color="auto"/>
          <w:bottom w:val="outset" w:sz="24" w:space="0" w:color="auto"/>
          <w:right w:val="outset" w:sz="24" w:space="0" w:color="auto"/>
          <w:insideH w:val="outset" w:sz="24" w:space="0" w:color="auto"/>
          <w:insideV w:val="outset" w:sz="24" w:space="0" w:color="auto"/>
        </w:tblBorders>
        <w:shd w:val="clear" w:color="auto" w:fill="FDE9D9" w:themeFill="accent6" w:themeFillTint="33"/>
        <w:tblCellMar>
          <w:left w:w="0" w:type="dxa"/>
          <w:right w:w="0" w:type="dxa"/>
        </w:tblCellMar>
        <w:tblLook w:val="04A0" w:firstRow="1" w:lastRow="0" w:firstColumn="1" w:lastColumn="0" w:noHBand="0" w:noVBand="1"/>
      </w:tblPr>
      <w:tblGrid>
        <w:gridCol w:w="9239"/>
      </w:tblGrid>
      <w:tr w:rsidR="00000000" w:rsidTr="00322A9D">
        <w:trPr>
          <w:trHeight w:val="5217"/>
          <w:tblCellSpacing w:w="20" w:type="dxa"/>
          <w:jc w:val="center"/>
        </w:trPr>
        <w:tc>
          <w:tcPr>
            <w:tcW w:w="4956" w:type="pct"/>
            <w:shd w:val="clear" w:color="auto" w:fill="FDE9D9" w:themeFill="accent6" w:themeFillTint="33"/>
            <w:tcMar>
              <w:top w:w="15" w:type="dxa"/>
              <w:left w:w="15" w:type="dxa"/>
              <w:bottom w:w="15" w:type="dxa"/>
              <w:right w:w="15" w:type="dxa"/>
            </w:tcMar>
            <w:vAlign w:val="center"/>
            <w:hideMark/>
          </w:tcPr>
          <w:p w:rsidR="00000000" w:rsidRDefault="0049157D">
            <w:pPr>
              <w:pStyle w:val="aa"/>
              <w:jc w:val="center"/>
            </w:pPr>
          </w:p>
          <w:p w:rsidR="00000000" w:rsidRDefault="0049157D">
            <w:pPr>
              <w:pStyle w:val="ab"/>
              <w:jc w:val="center"/>
              <w:rPr>
                <w:rFonts w:cs="David" w:hint="cs"/>
                <w:b/>
                <w:bCs/>
                <w:color w:val="FFFFFF"/>
                <w:sz w:val="36"/>
                <w:szCs w:val="36"/>
                <w:shd w:val="clear" w:color="auto" w:fill="993300"/>
                <w:rtl/>
              </w:rPr>
            </w:pPr>
          </w:p>
          <w:p w:rsidR="00000000" w:rsidRDefault="0049157D">
            <w:pPr>
              <w:pStyle w:val="ab"/>
              <w:spacing w:before="240" w:after="360"/>
              <w:jc w:val="center"/>
              <w:rPr>
                <w:rFonts w:cs="David" w:hint="cs"/>
                <w:b/>
                <w:bCs/>
                <w:color w:val="FFFFFF"/>
                <w:sz w:val="36"/>
                <w:szCs w:val="36"/>
                <w:rtl/>
              </w:rPr>
            </w:pPr>
            <w:r>
              <w:rPr>
                <w:rFonts w:cs="David" w:hint="cs"/>
                <w:b/>
                <w:bCs/>
                <w:color w:val="FFFFFF"/>
                <w:sz w:val="36"/>
                <w:szCs w:val="36"/>
                <w:shd w:val="clear" w:color="auto" w:fill="993300"/>
                <w:rtl/>
              </w:rPr>
              <w:t xml:space="preserve">   על הקנאות      </w:t>
            </w:r>
          </w:p>
          <w:p w:rsidR="00000000" w:rsidRDefault="0049157D">
            <w:pPr>
              <w:pStyle w:val="ab"/>
              <w:jc w:val="center"/>
              <w:rPr>
                <w:rFonts w:hint="cs"/>
                <w:b/>
                <w:bCs/>
                <w:szCs w:val="24"/>
                <w:rtl/>
              </w:rPr>
            </w:pPr>
            <w:r>
              <w:rPr>
                <w:rFonts w:hint="cs"/>
                <w:b/>
                <w:bCs/>
                <w:szCs w:val="24"/>
                <w:rtl/>
              </w:rPr>
              <w:t>מאת: גוסטב דרייפוס</w:t>
            </w:r>
          </w:p>
          <w:p w:rsidR="00000000" w:rsidRDefault="0049157D">
            <w:pPr>
              <w:pStyle w:val="11"/>
              <w:ind w:left="171" w:right="246" w:firstLine="0"/>
              <w:jc w:val="center"/>
              <w:rPr>
                <w:rFonts w:hint="cs"/>
                <w:rtl/>
              </w:rPr>
            </w:pPr>
            <w:r>
              <w:rPr>
                <w:rFonts w:hint="cs"/>
                <w:rtl/>
              </w:rPr>
              <w:t>מ</w:t>
            </w:r>
            <w:r>
              <w:rPr>
                <w:rFonts w:hint="cs"/>
                <w:sz w:val="26"/>
                <w:szCs w:val="26"/>
                <w:rtl/>
              </w:rPr>
              <w:t>אמר זה בא לבחון את תופעת הקנאות מנקודת הראיה של הפסיכולוגיה היונגיאנית באופן כללי, עם התיחסות מיוחדת לישראל</w:t>
            </w:r>
            <w:r>
              <w:rPr>
                <w:rFonts w:hint="cs"/>
              </w:rPr>
              <w:t>.</w:t>
            </w:r>
          </w:p>
          <w:p w:rsidR="00000000" w:rsidRDefault="0049157D">
            <w:pPr>
              <w:pStyle w:val="11"/>
              <w:rPr>
                <w:rFonts w:hint="cs"/>
                <w:b/>
                <w:bCs/>
                <w:rtl/>
              </w:rPr>
            </w:pPr>
          </w:p>
          <w:p w:rsidR="00000000" w:rsidRDefault="0049157D">
            <w:pPr>
              <w:pStyle w:val="11"/>
              <w:rPr>
                <w:rFonts w:hint="cs"/>
                <w:b/>
                <w:bCs/>
                <w:rtl/>
              </w:rPr>
            </w:pPr>
          </w:p>
          <w:p w:rsidR="00000000" w:rsidRDefault="0049157D">
            <w:pPr>
              <w:pStyle w:val="11"/>
              <w:ind w:left="170" w:right="68" w:firstLine="0"/>
              <w:rPr>
                <w:rFonts w:hint="cs"/>
                <w:b/>
                <w:bCs/>
                <w:sz w:val="26"/>
                <w:szCs w:val="26"/>
                <w:rtl/>
              </w:rPr>
            </w:pPr>
            <w:r>
              <w:rPr>
                <w:rFonts w:hint="cs"/>
                <w:b/>
                <w:bCs/>
                <w:sz w:val="26"/>
                <w:szCs w:val="26"/>
                <w:rtl/>
              </w:rPr>
              <w:t>המילון-האמריקאי "הריטאג'" מגדיר את הקנאי כ</w:t>
            </w:r>
            <w:r>
              <w:rPr>
                <w:bCs/>
                <w:sz w:val="26"/>
                <w:szCs w:val="26"/>
              </w:rPr>
              <w:sym w:font="Symbol" w:char="F0BE"/>
            </w:r>
            <w:r>
              <w:rPr>
                <w:rFonts w:hint="cs"/>
                <w:b/>
                <w:bCs/>
                <w:sz w:val="26"/>
                <w:szCs w:val="26"/>
                <w:rtl/>
              </w:rPr>
              <w:t xml:space="preserve"> "בן אדם אשר נשלט</w:t>
            </w:r>
            <w:r>
              <w:rPr>
                <w:rFonts w:hint="cs"/>
                <w:b/>
                <w:bCs/>
                <w:position w:val="6"/>
                <w:sz w:val="26"/>
                <w:szCs w:val="26"/>
                <w:rtl/>
              </w:rPr>
              <w:t>_</w:t>
            </w:r>
            <w:r>
              <w:rPr>
                <w:rFonts w:hint="cs"/>
                <w:b/>
                <w:bCs/>
                <w:sz w:val="26"/>
                <w:szCs w:val="26"/>
                <w:rtl/>
              </w:rPr>
              <w:t>ע"י קנאות מוגזמת ולא</w:t>
            </w:r>
            <w:r>
              <w:rPr>
                <w:rFonts w:hint="cs"/>
                <w:sz w:val="26"/>
                <w:szCs w:val="26"/>
                <w:rtl/>
              </w:rPr>
              <w:t xml:space="preserve"> הגיונית</w:t>
            </w:r>
            <w:r>
              <w:rPr>
                <w:rFonts w:hint="cs"/>
                <w:b/>
                <w:bCs/>
                <w:sz w:val="26"/>
                <w:szCs w:val="26"/>
                <w:rtl/>
              </w:rPr>
              <w:t xml:space="preserve">, במיוחד </w:t>
            </w:r>
            <w:r>
              <w:rPr>
                <w:rFonts w:hint="cs"/>
                <w:b/>
                <w:bCs/>
                <w:sz w:val="26"/>
                <w:szCs w:val="26"/>
                <w:rtl/>
              </w:rPr>
              <w:t xml:space="preserve">למען עקרון דתי או פוליטי".  במונחים פסיכולוגיים,  הקנאי אמנם נשלט ע"י ארכטיפוס המשתלט עליו.(1)  הוא נפוח כאילו היה אלוהים.  הוא מזוהה עם הצד האפל של האלוהות, עם השטן או הרוח הרעה.  באשר הוא כמו האלוהות הינו שופט, וכמו אלוהים, הוא גם מוציא את משפטו לפועל.  </w:t>
            </w:r>
            <w:r>
              <w:rPr>
                <w:rFonts w:hint="cs"/>
                <w:b/>
                <w:bCs/>
                <w:sz w:val="26"/>
                <w:szCs w:val="26"/>
                <w:rtl/>
              </w:rPr>
              <w:t xml:space="preserve">במצב כזה של גאוה מופרזת הוא מאבד את יכולתו  לאבחן ולהיות בקורתי מבחינה רוחנית, משוכנע שהאמת שלו הינה האמת הבלעדית.  הוא גם מאבד את יכולתו לאהוב ולקבל את הזולת אשר לו דיעות שונות מאלה שהוא מאמין בהם.  אין באפשרותו לקבל את העקרון הדמוקרטי שקימות דיעות שונות </w:t>
            </w:r>
            <w:r>
              <w:rPr>
                <w:rFonts w:hint="cs"/>
                <w:b/>
                <w:bCs/>
                <w:sz w:val="26"/>
                <w:szCs w:val="26"/>
                <w:rtl/>
              </w:rPr>
              <w:t>ודרכי אמונה אשר חובה עליהם לחיות בצוותא באוירה של הרמוניה</w:t>
            </w:r>
            <w:r>
              <w:rPr>
                <w:rFonts w:hint="cs"/>
                <w:bCs/>
                <w:sz w:val="26"/>
                <w:szCs w:val="26"/>
              </w:rPr>
              <w:t>.</w:t>
            </w:r>
          </w:p>
          <w:p w:rsidR="00000000" w:rsidRDefault="0049157D">
            <w:pPr>
              <w:pStyle w:val="11"/>
              <w:ind w:left="170" w:right="68" w:firstLine="0"/>
              <w:rPr>
                <w:rFonts w:cs="Rod" w:hint="cs"/>
                <w:bCs/>
                <w:sz w:val="26"/>
                <w:szCs w:val="26"/>
                <w:rtl/>
              </w:rPr>
            </w:pPr>
          </w:p>
          <w:p w:rsidR="00000000" w:rsidRDefault="0049157D">
            <w:pPr>
              <w:pStyle w:val="11"/>
              <w:ind w:left="170" w:right="68" w:firstLine="0"/>
              <w:rPr>
                <w:rFonts w:hint="cs"/>
                <w:b/>
                <w:bCs/>
                <w:sz w:val="26"/>
                <w:szCs w:val="26"/>
              </w:rPr>
            </w:pPr>
            <w:r>
              <w:rPr>
                <w:rFonts w:hint="cs"/>
                <w:b/>
                <w:bCs/>
                <w:sz w:val="26"/>
                <w:szCs w:val="26"/>
                <w:rtl/>
              </w:rPr>
              <w:t xml:space="preserve">הקנאי נשלט ע"י הדמוי הארכטיפי של בלעדיות אשר מסלק כל סכסוך פנימי.  להיות בעל הבנה חד מסלולית הינה חולשה אנושית, לחיות עם הודאות שרק הדרך בו הוא בחר, היא הדרך הנכונה.  </w:t>
            </w:r>
            <w:r>
              <w:rPr>
                <w:rFonts w:hint="cs"/>
                <w:b/>
                <w:bCs/>
                <w:sz w:val="26"/>
                <w:szCs w:val="26"/>
                <w:rtl/>
              </w:rPr>
              <w:t xml:space="preserve">ודאות זו מובילה לדכוי כל ספק וסכסוך פנימי, איכויות אשר הקנאי אינו מסוגל לחיות אתן.  הספק והסכסוך הפנימי הנדחקים מייצגים צד אחר של נפשו ומאחר והוא הדחיקם בתוך עצמו, הוא אינו מסוגל להמנע  מלהשליך אותם על אחרים.  מאחר ואיננו מסוגל לסבול ספק, בעצמו או באחרים, </w:t>
            </w:r>
            <w:r>
              <w:rPr>
                <w:rFonts w:hint="cs"/>
                <w:b/>
                <w:bCs/>
                <w:sz w:val="26"/>
                <w:szCs w:val="26"/>
                <w:rtl/>
              </w:rPr>
              <w:t>הוא חייב לפעול נגד אלה אשר יש להם דעות מנוגדות לדעות שלו; והוא לא יהסס להשתמש באלימות, אפילו ברצח.  הארכטיפוס אשר השתלט על אישיותו, קובע את גורלו.(2</w:t>
            </w:r>
            <w:r>
              <w:rPr>
                <w:rFonts w:hint="cs"/>
                <w:bCs/>
                <w:sz w:val="26"/>
                <w:szCs w:val="26"/>
              </w:rPr>
              <w:t>(</w:t>
            </w:r>
          </w:p>
          <w:p w:rsidR="00000000" w:rsidRDefault="0049157D">
            <w:pPr>
              <w:pStyle w:val="11"/>
              <w:ind w:left="170" w:right="68" w:firstLine="0"/>
              <w:rPr>
                <w:rFonts w:cs="Rod" w:hint="cs"/>
                <w:bCs/>
                <w:sz w:val="26"/>
                <w:szCs w:val="26"/>
                <w:rtl/>
              </w:rPr>
            </w:pPr>
          </w:p>
          <w:p w:rsidR="00000000" w:rsidRDefault="0049157D">
            <w:pPr>
              <w:pStyle w:val="11"/>
              <w:ind w:left="170" w:right="68" w:firstLine="0"/>
              <w:rPr>
                <w:rFonts w:hint="cs"/>
                <w:b/>
                <w:bCs/>
                <w:sz w:val="26"/>
                <w:szCs w:val="26"/>
              </w:rPr>
            </w:pPr>
            <w:r>
              <w:rPr>
                <w:rFonts w:hint="cs"/>
                <w:b/>
                <w:bCs/>
                <w:sz w:val="26"/>
                <w:szCs w:val="26"/>
                <w:rtl/>
              </w:rPr>
              <w:t>כאן עלינו לעמוד בפני הבעיה של קיצוניות, תופעה מצויה בחברה שלנו, המקדמת תוקפנות וחוסר סובלנות</w:t>
            </w:r>
            <w:r>
              <w:rPr>
                <w:rFonts w:hint="cs"/>
                <w:bCs/>
                <w:sz w:val="26"/>
                <w:szCs w:val="26"/>
              </w:rPr>
              <w:t>.</w:t>
            </w:r>
          </w:p>
          <w:p w:rsidR="00000000" w:rsidRDefault="0049157D">
            <w:pPr>
              <w:pStyle w:val="11"/>
              <w:ind w:left="170" w:right="68" w:firstLine="0"/>
              <w:rPr>
                <w:rFonts w:hint="cs"/>
                <w:b/>
                <w:bCs/>
                <w:sz w:val="26"/>
                <w:szCs w:val="26"/>
                <w:rtl/>
              </w:rPr>
            </w:pPr>
            <w:r>
              <w:rPr>
                <w:rFonts w:hint="cs"/>
                <w:b/>
                <w:bCs/>
                <w:sz w:val="26"/>
                <w:szCs w:val="26"/>
                <w:rtl/>
              </w:rPr>
              <w:t xml:space="preserve">גישה קנאית </w:t>
            </w:r>
            <w:r>
              <w:rPr>
                <w:rFonts w:hint="cs"/>
                <w:b/>
                <w:bCs/>
                <w:sz w:val="26"/>
                <w:szCs w:val="26"/>
                <w:rtl/>
              </w:rPr>
              <w:t>חד-צדדית מפעילה קסם ומונעת סכסוך פנימי, בני אדם נתפסים בקלות במלכודת  של חד-צדדיות.  בני אדם מוקסמים הינם אנשים נשלטים, נשלטים ע"י קשיחות מונומאנית ואין באפשרות מישהו אחר ללמדם או להביאם לקבלה של אחרים</w:t>
            </w:r>
            <w:r>
              <w:rPr>
                <w:rFonts w:hint="cs"/>
                <w:bCs/>
                <w:sz w:val="26"/>
                <w:szCs w:val="26"/>
              </w:rPr>
              <w:t>.</w:t>
            </w:r>
          </w:p>
          <w:p w:rsidR="00000000" w:rsidRDefault="0049157D">
            <w:pPr>
              <w:pStyle w:val="11"/>
              <w:ind w:left="170" w:right="68" w:firstLine="0"/>
              <w:rPr>
                <w:rFonts w:cs="Rod" w:hint="cs"/>
                <w:bCs/>
                <w:sz w:val="26"/>
                <w:szCs w:val="26"/>
                <w:rtl/>
              </w:rPr>
            </w:pPr>
          </w:p>
          <w:p w:rsidR="00000000" w:rsidRDefault="0049157D">
            <w:pPr>
              <w:pStyle w:val="11"/>
              <w:ind w:left="170" w:right="68" w:firstLine="0"/>
              <w:rPr>
                <w:rFonts w:hint="cs"/>
                <w:b/>
                <w:bCs/>
                <w:sz w:val="26"/>
                <w:szCs w:val="26"/>
              </w:rPr>
            </w:pPr>
            <w:r>
              <w:rPr>
                <w:rFonts w:hint="cs"/>
                <w:b/>
                <w:bCs/>
                <w:sz w:val="26"/>
                <w:szCs w:val="26"/>
                <w:rtl/>
              </w:rPr>
              <w:t>על מנת להבין כמה מרעיונות הקנאי היהודי, יש להבחין בש</w:t>
            </w:r>
            <w:r>
              <w:rPr>
                <w:rFonts w:hint="cs"/>
                <w:b/>
                <w:bCs/>
                <w:sz w:val="26"/>
                <w:szCs w:val="26"/>
                <w:rtl/>
              </w:rPr>
              <w:t>רשים העמוקים של הציונות.  השיבה לארץ ישראל התנ"כית יכולה להתפרש בדרכים שונות.  אחת הסיבות היא למצוא מקום אשר בו יהודים יהיו מסוגלים לקבוע בעצמם את גורלם ולא להיות תלויים בגויים, להמנע מרדיפות ופוגרומים.  ברמה אחרת, יש לארץ משמעות מיסטית ודתית אשר בני אדם ר</w:t>
            </w:r>
            <w:r>
              <w:rPr>
                <w:rFonts w:hint="cs"/>
                <w:b/>
                <w:bCs/>
                <w:sz w:val="26"/>
                <w:szCs w:val="26"/>
                <w:rtl/>
              </w:rPr>
              <w:t>בים אינם מודעים לה.  הקסם אשר בהתישבות בשטח של ישראל התנ"כית כולה מסמל את חיפוש הזהות: אלוהים האב אשר הבטיח את הארץ קשור עם  האם, הארץ הממשית, עם האדמה האם.  האחדות של "אב ואם" הינו דמוי ארכטיפי של זהות, של שלמות אשר מקסימה כאחוד של נגודים.  (הפרדוקס של שנ</w:t>
            </w:r>
            <w:r>
              <w:rPr>
                <w:rFonts w:hint="cs"/>
                <w:b/>
                <w:bCs/>
                <w:sz w:val="26"/>
                <w:szCs w:val="26"/>
                <w:rtl/>
              </w:rPr>
              <w:t>יים אשר הינם אחד!). ההבטחה ליישב את ארץ ישראל, כפי שזה מנוסח בתנ"ך, נתפסת באופן מילולי.  הובטחה ליהודים ארץ שלמה ולכן הארץ ב"שלמותה" שייכת ליהודים</w:t>
            </w:r>
            <w:r>
              <w:rPr>
                <w:rFonts w:hint="cs"/>
                <w:bCs/>
                <w:sz w:val="26"/>
                <w:szCs w:val="26"/>
              </w:rPr>
              <w:t>.</w:t>
            </w:r>
          </w:p>
          <w:p w:rsidR="00000000" w:rsidRDefault="0049157D">
            <w:pPr>
              <w:pStyle w:val="11"/>
              <w:ind w:left="170" w:right="68" w:firstLine="0"/>
              <w:rPr>
                <w:rFonts w:hint="cs"/>
                <w:bCs/>
                <w:sz w:val="26"/>
                <w:szCs w:val="26"/>
                <w:rtl/>
              </w:rPr>
            </w:pPr>
            <w:r>
              <w:rPr>
                <w:rFonts w:hint="cs"/>
                <w:b/>
                <w:bCs/>
                <w:sz w:val="26"/>
                <w:szCs w:val="26"/>
                <w:rtl/>
              </w:rPr>
              <w:t>"שלמות" כדמוי ארכטיפי מושלך על הארץ אשר יש צורך להתאחד עמה במכלולה.  אף על פי כן, יש לראות שלמות, כממשיות פנ</w:t>
            </w:r>
            <w:r>
              <w:rPr>
                <w:rFonts w:hint="cs"/>
                <w:b/>
                <w:bCs/>
                <w:sz w:val="26"/>
                <w:szCs w:val="26"/>
                <w:rtl/>
              </w:rPr>
              <w:t>ימית סימלית, האחוד של האגו המודע עם צדדים אחרים הנמצאים בלא מודע</w:t>
            </w:r>
            <w:r>
              <w:rPr>
                <w:rFonts w:hint="cs"/>
                <w:bCs/>
                <w:sz w:val="26"/>
                <w:szCs w:val="26"/>
              </w:rPr>
              <w:t>.</w:t>
            </w:r>
          </w:p>
          <w:p w:rsidR="00000000" w:rsidRDefault="0049157D">
            <w:pPr>
              <w:pStyle w:val="11"/>
              <w:ind w:left="170" w:right="68" w:firstLine="0"/>
              <w:rPr>
                <w:rFonts w:cs="Rod" w:hint="cs"/>
                <w:bCs/>
                <w:sz w:val="26"/>
                <w:szCs w:val="26"/>
              </w:rPr>
            </w:pPr>
          </w:p>
          <w:p w:rsidR="00000000" w:rsidRDefault="0049157D">
            <w:pPr>
              <w:pStyle w:val="11"/>
              <w:ind w:left="170" w:right="68" w:firstLine="0"/>
              <w:rPr>
                <w:rFonts w:hint="cs"/>
                <w:b/>
                <w:bCs/>
                <w:sz w:val="26"/>
                <w:szCs w:val="26"/>
              </w:rPr>
            </w:pPr>
            <w:r>
              <w:rPr>
                <w:rFonts w:hint="cs"/>
                <w:b/>
                <w:bCs/>
                <w:sz w:val="26"/>
                <w:szCs w:val="26"/>
                <w:rtl/>
              </w:rPr>
              <w:t xml:space="preserve">לדמוי הזה של אחדות יש כמות אדירה של אנרגיה נפשית ויש  לו כביכול את השייכים לקבוצה.  נסתכל על </w:t>
            </w:r>
            <w:r>
              <w:rPr>
                <w:rFonts w:hint="cs"/>
                <w:b/>
                <w:bCs/>
                <w:sz w:val="26"/>
                <w:szCs w:val="26"/>
                <w:rtl/>
              </w:rPr>
              <w:lastRenderedPageBreak/>
              <w:t>הימין הקיצוני בישראל.  הצו ליישב את ארץ ישראל נתפס כמחייב בשלמותו.  נלחמים בעדו בקנאות ואין אפשר</w:t>
            </w:r>
            <w:r>
              <w:rPr>
                <w:rFonts w:hint="cs"/>
                <w:b/>
                <w:bCs/>
                <w:sz w:val="26"/>
                <w:szCs w:val="26"/>
                <w:rtl/>
              </w:rPr>
              <w:t>ות לפשרה כלשהי. בממוש הקיצוני של צו זה, היה צורך להעביר או לגרש את כל הערבים החיים בשטח של ארץ ישראל למקום אחר</w:t>
            </w:r>
            <w:r>
              <w:rPr>
                <w:rFonts w:hint="cs"/>
                <w:bCs/>
                <w:sz w:val="26"/>
                <w:szCs w:val="26"/>
              </w:rPr>
              <w:t>.</w:t>
            </w:r>
          </w:p>
          <w:p w:rsidR="00000000" w:rsidRDefault="0049157D">
            <w:pPr>
              <w:pStyle w:val="11"/>
              <w:ind w:left="170" w:right="68" w:firstLine="0"/>
              <w:rPr>
                <w:rFonts w:cs="Rod" w:hint="cs"/>
                <w:bCs/>
                <w:sz w:val="26"/>
                <w:szCs w:val="26"/>
                <w:rtl/>
              </w:rPr>
            </w:pPr>
          </w:p>
          <w:p w:rsidR="00000000" w:rsidRDefault="0049157D">
            <w:pPr>
              <w:pStyle w:val="11"/>
              <w:ind w:left="170" w:right="68" w:firstLine="0"/>
              <w:rPr>
                <w:rFonts w:hint="cs"/>
                <w:b/>
                <w:bCs/>
                <w:sz w:val="26"/>
                <w:szCs w:val="26"/>
              </w:rPr>
            </w:pPr>
            <w:r>
              <w:rPr>
                <w:rFonts w:hint="cs"/>
                <w:b/>
                <w:bCs/>
                <w:sz w:val="26"/>
                <w:szCs w:val="26"/>
                <w:rtl/>
              </w:rPr>
              <w:t>כפועל יוצא הקנאות של הפרט או קבוצה מולידה  קנאות שכנגד בפרט או קבוצה אחרים.  הכל מוכן אז עבור הסכסוך בין שני מצבים מנוגדים אשר לא ניתנים לפיוס,</w:t>
            </w:r>
            <w:r>
              <w:rPr>
                <w:rFonts w:hint="cs"/>
                <w:b/>
                <w:bCs/>
                <w:sz w:val="26"/>
                <w:szCs w:val="26"/>
                <w:rtl/>
              </w:rPr>
              <w:t xml:space="preserve">  אלא יתבטאו באלימות בין יחידים ובמלחמה בין עמים</w:t>
            </w:r>
            <w:r>
              <w:rPr>
                <w:rFonts w:hint="cs"/>
                <w:bCs/>
                <w:sz w:val="26"/>
                <w:szCs w:val="26"/>
              </w:rPr>
              <w:t>.</w:t>
            </w:r>
          </w:p>
          <w:p w:rsidR="00000000" w:rsidRDefault="0049157D">
            <w:pPr>
              <w:pStyle w:val="11"/>
              <w:ind w:left="170" w:right="68" w:firstLine="0"/>
              <w:rPr>
                <w:rFonts w:cs="Rod" w:hint="cs"/>
                <w:bCs/>
                <w:sz w:val="26"/>
                <w:szCs w:val="26"/>
                <w:rtl/>
              </w:rPr>
            </w:pPr>
          </w:p>
          <w:p w:rsidR="00000000" w:rsidRDefault="0049157D">
            <w:pPr>
              <w:pStyle w:val="11"/>
              <w:ind w:left="170" w:right="68" w:firstLine="0"/>
              <w:rPr>
                <w:rFonts w:hint="cs"/>
                <w:b/>
                <w:bCs/>
                <w:sz w:val="26"/>
                <w:szCs w:val="26"/>
              </w:rPr>
            </w:pPr>
            <w:r>
              <w:rPr>
                <w:rFonts w:hint="cs"/>
                <w:b/>
                <w:bCs/>
                <w:sz w:val="26"/>
                <w:szCs w:val="26"/>
                <w:rtl/>
              </w:rPr>
              <w:t>הקנאי מפר ערכים אנושיים בסיסיים כמו  סובלנות וקבלת קיום דרכים שונות. מכאן קצרה הדרך לגישה אשר בה המטרה מקדשת את האמצעים והאלימות כלפי קבוצות אחרות מופעלת</w:t>
            </w:r>
            <w:r>
              <w:rPr>
                <w:rFonts w:hint="cs"/>
                <w:bCs/>
                <w:sz w:val="26"/>
                <w:szCs w:val="26"/>
              </w:rPr>
              <w:t>.</w:t>
            </w:r>
          </w:p>
          <w:p w:rsidR="00000000" w:rsidRDefault="0049157D">
            <w:pPr>
              <w:pStyle w:val="11"/>
              <w:rPr>
                <w:rFonts w:hint="cs"/>
                <w:b/>
                <w:bCs/>
                <w:rtl/>
              </w:rPr>
            </w:pPr>
          </w:p>
          <w:p w:rsidR="00000000" w:rsidRDefault="0049157D">
            <w:pPr>
              <w:pStyle w:val="11"/>
              <w:rPr>
                <w:rFonts w:ascii="Times New Roman" w:hAnsi="Times New Roman" w:hint="cs"/>
                <w:b/>
                <w:bCs/>
                <w:sz w:val="18"/>
                <w:rtl/>
              </w:rPr>
            </w:pPr>
            <w:r>
              <w:rPr>
                <w:rFonts w:ascii="Times New Roman" w:hAnsi="Times New Roman" w:hint="cs"/>
                <w:b/>
                <w:bCs/>
                <w:sz w:val="18"/>
                <w:rtl/>
              </w:rPr>
              <w:t xml:space="preserve">1. יונג, ק.ג.: 390. </w:t>
            </w:r>
            <w:proofErr w:type="gramStart"/>
            <w:r>
              <w:rPr>
                <w:rFonts w:ascii="Times New Roman" w:hAnsi="Times New Roman"/>
                <w:bCs/>
                <w:sz w:val="18"/>
              </w:rPr>
              <w:t xml:space="preserve">para </w:t>
            </w:r>
            <w:r>
              <w:rPr>
                <w:rFonts w:ascii="Times New Roman" w:hAnsi="Times New Roman" w:hint="cs"/>
                <w:b/>
                <w:bCs/>
                <w:sz w:val="18"/>
                <w:rtl/>
              </w:rPr>
              <w:t xml:space="preserve"> </w:t>
            </w:r>
            <w:r>
              <w:rPr>
                <w:rFonts w:ascii="Times New Roman" w:hAnsi="Times New Roman"/>
                <w:bCs/>
                <w:sz w:val="18"/>
              </w:rPr>
              <w:t>C.W</w:t>
            </w:r>
            <w:proofErr w:type="gramEnd"/>
            <w:r>
              <w:rPr>
                <w:rFonts w:ascii="Times New Roman" w:hAnsi="Times New Roman"/>
                <w:bCs/>
                <w:sz w:val="18"/>
              </w:rPr>
              <w:t xml:space="preserve"> 7</w:t>
            </w:r>
            <w:r>
              <w:rPr>
                <w:rFonts w:ascii="Times New Roman" w:hAnsi="Times New Roman" w:hint="cs"/>
                <w:b/>
                <w:bCs/>
                <w:sz w:val="18"/>
                <w:rtl/>
              </w:rPr>
              <w:t>.</w:t>
            </w:r>
          </w:p>
          <w:p w:rsidR="00000000" w:rsidRDefault="0049157D">
            <w:pPr>
              <w:pStyle w:val="a9"/>
              <w:ind w:left="171" w:right="66"/>
              <w:rPr>
                <w:sz w:val="32"/>
                <w:szCs w:val="32"/>
              </w:rPr>
            </w:pPr>
            <w:r>
              <w:rPr>
                <w:rFonts w:ascii="Times New Roman" w:hAnsi="Times New Roman" w:hint="cs"/>
                <w:b/>
                <w:bCs/>
                <w:sz w:val="18"/>
                <w:rtl/>
              </w:rPr>
              <w:t xml:space="preserve">2. יונג, ק.ג.: </w:t>
            </w:r>
            <w:r>
              <w:rPr>
                <w:rFonts w:ascii="Times New Roman" w:hAnsi="Times New Roman"/>
                <w:bCs/>
                <w:sz w:val="18"/>
              </w:rPr>
              <w:t>C.W 11, para</w:t>
            </w:r>
            <w:r>
              <w:rPr>
                <w:bCs/>
              </w:rPr>
              <w:t>.</w:t>
            </w:r>
            <w:r>
              <w:rPr>
                <w:bCs/>
                <w:sz w:val="18"/>
              </w:rPr>
              <w:t>648</w:t>
            </w:r>
            <w:r>
              <w:rPr>
                <w:rFonts w:hint="cs"/>
                <w:b/>
                <w:bCs/>
                <w:sz w:val="18"/>
                <w:rtl/>
              </w:rPr>
              <w:t xml:space="preserve"> </w:t>
            </w:r>
          </w:p>
        </w:tc>
      </w:tr>
    </w:tbl>
    <w:p w:rsidR="0049157D" w:rsidRDefault="0049157D" w:rsidP="00322A9D">
      <w:pPr>
        <w:pStyle w:val="NormalWeb"/>
        <w:spacing w:after="240" w:afterAutospacing="0"/>
        <w:rPr>
          <w:rFonts w:hint="cs"/>
          <w:rtl/>
        </w:rPr>
      </w:pPr>
      <w:bookmarkStart w:id="0" w:name="_GoBack"/>
      <w:bookmarkEnd w:id="0"/>
    </w:p>
    <w:sectPr w:rsidR="0049157D">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Rod">
    <w:panose1 w:val="02030509050101010101"/>
    <w:charset w:val="B1"/>
    <w:family w:val="modern"/>
    <w:pitch w:val="fixed"/>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856F7"/>
    <w:rsid w:val="00322A9D"/>
    <w:rsid w:val="0049157D"/>
    <w:rsid w:val="0098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outlineLvl w:val="1"/>
    </w:pPr>
    <w:rPr>
      <w:rFonts w:eastAsiaTheme="minorEastAsia"/>
      <w:b/>
      <w:bCs/>
      <w:sz w:val="52"/>
      <w:szCs w:val="52"/>
    </w:rPr>
  </w:style>
  <w:style w:type="paragraph" w:styleId="3">
    <w:name w:val="heading 3"/>
    <w:basedOn w:val="a"/>
    <w:next w:val="Normal"/>
    <w:link w:val="30"/>
    <w:uiPriority w:val="9"/>
    <w:qFormat/>
    <w:pPr>
      <w:keepNext/>
      <w:bidi/>
      <w:outlineLvl w:val="2"/>
    </w:pPr>
    <w:rPr>
      <w:rFonts w:eastAsiaTheme="minorEastAsia"/>
      <w:sz w:val="40"/>
      <w:szCs w:val="40"/>
    </w:rPr>
  </w:style>
  <w:style w:type="paragraph" w:styleId="4">
    <w:name w:val="heading 4"/>
    <w:basedOn w:val="a"/>
    <w:next w:val="Normal"/>
    <w:link w:val="40"/>
    <w:uiPriority w:val="9"/>
    <w:qFormat/>
    <w:pPr>
      <w:keepNext/>
      <w:bidi/>
      <w:ind w:left="231"/>
      <w:jc w:val="both"/>
      <w:outlineLvl w:val="3"/>
    </w:pPr>
    <w:rPr>
      <w:rFonts w:eastAsiaTheme="minorEastAs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a"/>
    <w:uiPriority w:val="99"/>
    <w:unhideWhenUsed/>
    <w:pPr>
      <w:spacing w:before="100" w:beforeAutospacing="1" w:after="100" w:afterAutospacing="1"/>
    </w:pPr>
  </w:style>
  <w:style w:type="paragraph" w:styleId="a3">
    <w:name w:val="Title"/>
    <w:basedOn w:val="a"/>
    <w:link w:val="a4"/>
    <w:uiPriority w:val="10"/>
    <w:qFormat/>
    <w:pPr>
      <w:bidi/>
      <w:spacing w:line="360" w:lineRule="auto"/>
      <w:jc w:val="center"/>
    </w:pPr>
    <w:rPr>
      <w:rFonts w:cs="Narkisim"/>
      <w:b/>
      <w:bCs/>
      <w:sz w:val="28"/>
      <w:szCs w:val="28"/>
      <w:u w:val="single"/>
    </w:rPr>
  </w:style>
  <w:style w:type="character" w:customStyle="1" w:styleId="a4">
    <w:name w:val="כותרת טקסט תו"/>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5">
    <w:name w:val="Body Text Indent"/>
    <w:basedOn w:val="a"/>
    <w:link w:val="a6"/>
    <w:uiPriority w:val="99"/>
    <w:semiHidden/>
    <w:unhideWhenUsed/>
    <w:pPr>
      <w:bidi/>
      <w:ind w:left="2153"/>
    </w:pPr>
    <w:rPr>
      <w:sz w:val="36"/>
      <w:szCs w:val="36"/>
    </w:rPr>
  </w:style>
  <w:style w:type="character" w:customStyle="1" w:styleId="a6">
    <w:name w:val="כניסה בגוף טקסט תו"/>
    <w:basedOn w:val="a0"/>
    <w:link w:val="a5"/>
    <w:uiPriority w:val="99"/>
    <w:semiHidden/>
    <w:rPr>
      <w:sz w:val="24"/>
      <w:szCs w:val="24"/>
    </w:rPr>
  </w:style>
  <w:style w:type="paragraph" w:customStyle="1" w:styleId="a7">
    <w:name w:val="פסיכי"/>
    <w:basedOn w:val="a"/>
    <w:pPr>
      <w:overflowPunct w:val="0"/>
      <w:autoSpaceDE w:val="0"/>
      <w:autoSpaceDN w:val="0"/>
      <w:bidi/>
      <w:adjustRightInd w:val="0"/>
      <w:spacing w:line="280" w:lineRule="atLeast"/>
      <w:ind w:firstLine="227"/>
      <w:jc w:val="both"/>
    </w:pPr>
    <w:rPr>
      <w:rFonts w:ascii="Rod" w:hAnsi="Rod" w:cs="FrankRuehl"/>
      <w:bCs/>
    </w:rPr>
  </w:style>
  <w:style w:type="paragraph" w:customStyle="1" w:styleId="11">
    <w:name w:val="סגנון1"/>
    <w:basedOn w:val="a"/>
    <w:pPr>
      <w:overflowPunct w:val="0"/>
      <w:autoSpaceDE w:val="0"/>
      <w:autoSpaceDN w:val="0"/>
      <w:bidi/>
      <w:adjustRightInd w:val="0"/>
      <w:spacing w:line="280" w:lineRule="atLeast"/>
      <w:ind w:firstLine="227"/>
      <w:jc w:val="both"/>
    </w:pPr>
    <w:rPr>
      <w:rFonts w:ascii="Rod" w:hAnsi="Rod" w:cs="FrankRuehl"/>
    </w:rPr>
  </w:style>
  <w:style w:type="paragraph" w:customStyle="1" w:styleId="H">
    <w:name w:val="תמונה  רH"/>
    <w:basedOn w:val="a"/>
    <w:pPr>
      <w:overflowPunct w:val="0"/>
      <w:autoSpaceDE w:val="0"/>
      <w:autoSpaceDN w:val="0"/>
      <w:bidi/>
      <w:adjustRightInd w:val="0"/>
      <w:spacing w:before="200" w:line="220" w:lineRule="atLeast"/>
    </w:pPr>
    <w:rPr>
      <w:sz w:val="20"/>
      <w:szCs w:val="20"/>
    </w:rPr>
  </w:style>
  <w:style w:type="paragraph" w:customStyle="1" w:styleId="a8">
    <w:name w:val="מרואיין"/>
    <w:basedOn w:val="a"/>
    <w:pPr>
      <w:overflowPunct w:val="0"/>
      <w:autoSpaceDE w:val="0"/>
      <w:autoSpaceDN w:val="0"/>
      <w:bidi/>
      <w:adjustRightInd w:val="0"/>
      <w:spacing w:line="280" w:lineRule="atLeast"/>
      <w:ind w:left="227"/>
    </w:pPr>
    <w:rPr>
      <w:rFonts w:ascii="Arial" w:hAnsi="Arial" w:cs="FrankRuehl"/>
      <w:sz w:val="20"/>
    </w:rPr>
  </w:style>
  <w:style w:type="paragraph" w:customStyle="1" w:styleId="a9">
    <w:name w:val="מראיין"/>
    <w:basedOn w:val="a"/>
    <w:pPr>
      <w:overflowPunct w:val="0"/>
      <w:autoSpaceDE w:val="0"/>
      <w:autoSpaceDN w:val="0"/>
      <w:bidi/>
      <w:adjustRightInd w:val="0"/>
      <w:spacing w:before="120" w:line="280" w:lineRule="exact"/>
      <w:jc w:val="both"/>
    </w:pPr>
    <w:rPr>
      <w:rFonts w:ascii="Arial" w:hAnsi="Arial" w:cs="David"/>
      <w:szCs w:val="22"/>
    </w:rPr>
  </w:style>
  <w:style w:type="paragraph" w:customStyle="1" w:styleId="12">
    <w:name w:val="סגנון1ב&quot;ז"/>
    <w:basedOn w:val="a9"/>
  </w:style>
  <w:style w:type="paragraph" w:customStyle="1" w:styleId="aa">
    <w:name w:val="כותרת פרק"/>
    <w:basedOn w:val="a"/>
    <w:pPr>
      <w:overflowPunct w:val="0"/>
      <w:autoSpaceDE w:val="0"/>
      <w:autoSpaceDN w:val="0"/>
      <w:bidi/>
      <w:adjustRightInd w:val="0"/>
    </w:pPr>
    <w:rPr>
      <w:rFonts w:cs="David"/>
      <w:sz w:val="20"/>
      <w:szCs w:val="32"/>
    </w:rPr>
  </w:style>
  <w:style w:type="paragraph" w:customStyle="1" w:styleId="ab">
    <w:name w:val="כותרת משנית"/>
    <w:basedOn w:val="a"/>
    <w:pPr>
      <w:overflowPunct w:val="0"/>
      <w:autoSpaceDE w:val="0"/>
      <w:autoSpaceDN w:val="0"/>
      <w:bidi/>
      <w:adjustRightInd w:val="0"/>
      <w:spacing w:after="200" w:line="240" w:lineRule="exact"/>
    </w:pPr>
    <w:rPr>
      <w:rFonts w:cs="FrankRuehl"/>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outlineLvl w:val="1"/>
    </w:pPr>
    <w:rPr>
      <w:rFonts w:eastAsiaTheme="minorEastAsia"/>
      <w:b/>
      <w:bCs/>
      <w:sz w:val="52"/>
      <w:szCs w:val="52"/>
    </w:rPr>
  </w:style>
  <w:style w:type="paragraph" w:styleId="3">
    <w:name w:val="heading 3"/>
    <w:basedOn w:val="a"/>
    <w:next w:val="Normal"/>
    <w:link w:val="30"/>
    <w:uiPriority w:val="9"/>
    <w:qFormat/>
    <w:pPr>
      <w:keepNext/>
      <w:bidi/>
      <w:outlineLvl w:val="2"/>
    </w:pPr>
    <w:rPr>
      <w:rFonts w:eastAsiaTheme="minorEastAsia"/>
      <w:sz w:val="40"/>
      <w:szCs w:val="40"/>
    </w:rPr>
  </w:style>
  <w:style w:type="paragraph" w:styleId="4">
    <w:name w:val="heading 4"/>
    <w:basedOn w:val="a"/>
    <w:next w:val="Normal"/>
    <w:link w:val="40"/>
    <w:uiPriority w:val="9"/>
    <w:qFormat/>
    <w:pPr>
      <w:keepNext/>
      <w:bidi/>
      <w:ind w:left="231"/>
      <w:jc w:val="both"/>
      <w:outlineLvl w:val="3"/>
    </w:pPr>
    <w:rPr>
      <w:rFonts w:eastAsiaTheme="minorEastAs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a"/>
    <w:uiPriority w:val="99"/>
    <w:unhideWhenUsed/>
    <w:pPr>
      <w:spacing w:before="100" w:beforeAutospacing="1" w:after="100" w:afterAutospacing="1"/>
    </w:pPr>
  </w:style>
  <w:style w:type="paragraph" w:styleId="a3">
    <w:name w:val="Title"/>
    <w:basedOn w:val="a"/>
    <w:link w:val="a4"/>
    <w:uiPriority w:val="10"/>
    <w:qFormat/>
    <w:pPr>
      <w:bidi/>
      <w:spacing w:line="360" w:lineRule="auto"/>
      <w:jc w:val="center"/>
    </w:pPr>
    <w:rPr>
      <w:rFonts w:cs="Narkisim"/>
      <w:b/>
      <w:bCs/>
      <w:sz w:val="28"/>
      <w:szCs w:val="28"/>
      <w:u w:val="single"/>
    </w:rPr>
  </w:style>
  <w:style w:type="character" w:customStyle="1" w:styleId="a4">
    <w:name w:val="כותרת טקסט תו"/>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5">
    <w:name w:val="Body Text Indent"/>
    <w:basedOn w:val="a"/>
    <w:link w:val="a6"/>
    <w:uiPriority w:val="99"/>
    <w:semiHidden/>
    <w:unhideWhenUsed/>
    <w:pPr>
      <w:bidi/>
      <w:ind w:left="2153"/>
    </w:pPr>
    <w:rPr>
      <w:sz w:val="36"/>
      <w:szCs w:val="36"/>
    </w:rPr>
  </w:style>
  <w:style w:type="character" w:customStyle="1" w:styleId="a6">
    <w:name w:val="כניסה בגוף טקסט תו"/>
    <w:basedOn w:val="a0"/>
    <w:link w:val="a5"/>
    <w:uiPriority w:val="99"/>
    <w:semiHidden/>
    <w:rPr>
      <w:sz w:val="24"/>
      <w:szCs w:val="24"/>
    </w:rPr>
  </w:style>
  <w:style w:type="paragraph" w:customStyle="1" w:styleId="a7">
    <w:name w:val="פסיכי"/>
    <w:basedOn w:val="a"/>
    <w:pPr>
      <w:overflowPunct w:val="0"/>
      <w:autoSpaceDE w:val="0"/>
      <w:autoSpaceDN w:val="0"/>
      <w:bidi/>
      <w:adjustRightInd w:val="0"/>
      <w:spacing w:line="280" w:lineRule="atLeast"/>
      <w:ind w:firstLine="227"/>
      <w:jc w:val="both"/>
    </w:pPr>
    <w:rPr>
      <w:rFonts w:ascii="Rod" w:hAnsi="Rod" w:cs="FrankRuehl"/>
      <w:bCs/>
    </w:rPr>
  </w:style>
  <w:style w:type="paragraph" w:customStyle="1" w:styleId="11">
    <w:name w:val="סגנון1"/>
    <w:basedOn w:val="a"/>
    <w:pPr>
      <w:overflowPunct w:val="0"/>
      <w:autoSpaceDE w:val="0"/>
      <w:autoSpaceDN w:val="0"/>
      <w:bidi/>
      <w:adjustRightInd w:val="0"/>
      <w:spacing w:line="280" w:lineRule="atLeast"/>
      <w:ind w:firstLine="227"/>
      <w:jc w:val="both"/>
    </w:pPr>
    <w:rPr>
      <w:rFonts w:ascii="Rod" w:hAnsi="Rod" w:cs="FrankRuehl"/>
    </w:rPr>
  </w:style>
  <w:style w:type="paragraph" w:customStyle="1" w:styleId="H">
    <w:name w:val="תמונה  רH"/>
    <w:basedOn w:val="a"/>
    <w:pPr>
      <w:overflowPunct w:val="0"/>
      <w:autoSpaceDE w:val="0"/>
      <w:autoSpaceDN w:val="0"/>
      <w:bidi/>
      <w:adjustRightInd w:val="0"/>
      <w:spacing w:before="200" w:line="220" w:lineRule="atLeast"/>
    </w:pPr>
    <w:rPr>
      <w:sz w:val="20"/>
      <w:szCs w:val="20"/>
    </w:rPr>
  </w:style>
  <w:style w:type="paragraph" w:customStyle="1" w:styleId="a8">
    <w:name w:val="מרואיין"/>
    <w:basedOn w:val="a"/>
    <w:pPr>
      <w:overflowPunct w:val="0"/>
      <w:autoSpaceDE w:val="0"/>
      <w:autoSpaceDN w:val="0"/>
      <w:bidi/>
      <w:adjustRightInd w:val="0"/>
      <w:spacing w:line="280" w:lineRule="atLeast"/>
      <w:ind w:left="227"/>
    </w:pPr>
    <w:rPr>
      <w:rFonts w:ascii="Arial" w:hAnsi="Arial" w:cs="FrankRuehl"/>
      <w:sz w:val="20"/>
    </w:rPr>
  </w:style>
  <w:style w:type="paragraph" w:customStyle="1" w:styleId="a9">
    <w:name w:val="מראיין"/>
    <w:basedOn w:val="a"/>
    <w:pPr>
      <w:overflowPunct w:val="0"/>
      <w:autoSpaceDE w:val="0"/>
      <w:autoSpaceDN w:val="0"/>
      <w:bidi/>
      <w:adjustRightInd w:val="0"/>
      <w:spacing w:before="120" w:line="280" w:lineRule="exact"/>
      <w:jc w:val="both"/>
    </w:pPr>
    <w:rPr>
      <w:rFonts w:ascii="Arial" w:hAnsi="Arial" w:cs="David"/>
      <w:szCs w:val="22"/>
    </w:rPr>
  </w:style>
  <w:style w:type="paragraph" w:customStyle="1" w:styleId="12">
    <w:name w:val="סגנון1ב&quot;ז"/>
    <w:basedOn w:val="a9"/>
  </w:style>
  <w:style w:type="paragraph" w:customStyle="1" w:styleId="aa">
    <w:name w:val="כותרת פרק"/>
    <w:basedOn w:val="a"/>
    <w:pPr>
      <w:overflowPunct w:val="0"/>
      <w:autoSpaceDE w:val="0"/>
      <w:autoSpaceDN w:val="0"/>
      <w:bidi/>
      <w:adjustRightInd w:val="0"/>
    </w:pPr>
    <w:rPr>
      <w:rFonts w:cs="David"/>
      <w:sz w:val="20"/>
      <w:szCs w:val="32"/>
    </w:rPr>
  </w:style>
  <w:style w:type="paragraph" w:customStyle="1" w:styleId="ab">
    <w:name w:val="כותרת משנית"/>
    <w:basedOn w:val="a"/>
    <w:pPr>
      <w:overflowPunct w:val="0"/>
      <w:autoSpaceDE w:val="0"/>
      <w:autoSpaceDN w:val="0"/>
      <w:bidi/>
      <w:adjustRightInd w:val="0"/>
      <w:spacing w:after="200" w:line="240" w:lineRule="exact"/>
    </w:pPr>
    <w:rPr>
      <w:rFonts w:cs="FrankRuehl"/>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2761</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2015-07-10T19:20:00Z</dcterms:created>
  <dcterms:modified xsi:type="dcterms:W3CDTF">2015-07-10T19:20:00Z</dcterms:modified>
</cp:coreProperties>
</file>